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6.xml" ContentType="application/vnd.openxmlformats-officedocument.wordprocessingml.header+xml"/>
  <Override PartName="/word/header5.xml" ContentType="application/vnd.openxmlformats-officedocument.wordprocessingml.header+xml"/>
  <Override PartName="/word/header1.xml" ContentType="application/vnd.openxmlformats-officedocument.wordprocessingml.header+xml"/>
  <Override PartName="/word/footer5.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4.xml" ContentType="application/vnd.openxmlformats-officedocument.wordprocessingml.footer+xml"/>
  <Override PartName="/word/header4.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customXml/itemProps1.xml" ContentType="application/vnd.openxmlformats-officedocument.customXmlProperties+xml"/>
  <Override PartName="/word/fontTable.xml" ContentType="application/vnd.openxmlformats-officedocument.wordprocessingml.fontTable+xml"/>
  <Override PartName="/word/styles.xml" ContentType="application/vnd.openxmlformats-officedocument.wordprocessingml.styles+xml"/>
  <Override PartName="/docProps/core.xml" ContentType="application/vnd.openxmlformats-package.core-properties+xml"/>
  <Override PartName="/docProps/custom.xml" ContentType="application/vnd.openxmlformats-officedocument.custom-properties+xml"/>
  <Override PartName="/word/webSettings.xml" ContentType="application/vnd.openxmlformats-officedocument.wordprocessingml.webSetting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BBB65FE" w14:textId="77777777" w:rsidR="00504886" w:rsidRPr="003D33D4" w:rsidRDefault="00504886" w:rsidP="00175648">
      <w:pPr>
        <w:spacing w:after="0" w:line="240" w:lineRule="auto"/>
        <w:ind w:right="-180"/>
        <w:jc w:val="center"/>
        <w:rPr>
          <w:rFonts w:ascii="Aptos" w:eastAsia="Times New Roman" w:hAnsi="Aptos" w:cs="Arial"/>
          <w:b/>
          <w:kern w:val="0"/>
          <w:sz w:val="48"/>
          <w:szCs w:val="20"/>
          <w14:ligatures w14:val="none"/>
        </w:rPr>
      </w:pPr>
    </w:p>
    <w:p w14:paraId="6AB3E32B" w14:textId="77777777" w:rsidR="00504886" w:rsidRPr="003D33D4" w:rsidRDefault="00504886" w:rsidP="00175648">
      <w:pPr>
        <w:spacing w:after="0" w:line="240" w:lineRule="auto"/>
        <w:ind w:right="-180"/>
        <w:jc w:val="center"/>
        <w:rPr>
          <w:rFonts w:ascii="Aptos" w:eastAsia="Times New Roman" w:hAnsi="Aptos" w:cs="Arial"/>
          <w:b/>
          <w:kern w:val="0"/>
          <w:sz w:val="48"/>
          <w:szCs w:val="20"/>
          <w14:ligatures w14:val="none"/>
        </w:rPr>
      </w:pPr>
    </w:p>
    <w:p w14:paraId="3BBEF46F" w14:textId="5F44BA81" w:rsidR="00DD4CFE" w:rsidRPr="003D33D4" w:rsidRDefault="001026AC" w:rsidP="00175648">
      <w:pPr>
        <w:spacing w:after="0" w:line="240" w:lineRule="auto"/>
        <w:ind w:right="-180"/>
        <w:jc w:val="center"/>
        <w:rPr>
          <w:rFonts w:ascii="Aptos" w:eastAsia="Times New Roman" w:hAnsi="Aptos" w:cs="Arial"/>
          <w:b/>
          <w:kern w:val="0"/>
          <w:sz w:val="48"/>
          <w:szCs w:val="20"/>
          <w14:ligatures w14:val="none"/>
        </w:rPr>
      </w:pPr>
      <w:r w:rsidRPr="003D33D4">
        <w:rPr>
          <w:rFonts w:ascii="Aptos" w:eastAsia="Times New Roman" w:hAnsi="Aptos" w:cs="Arial"/>
          <w:b/>
          <w:noProof/>
          <w:kern w:val="0"/>
          <w:sz w:val="48"/>
          <w:szCs w:val="20"/>
          <w14:ligatures w14:val="none"/>
        </w:rPr>
        <w:drawing>
          <wp:inline distT="0" distB="0" distL="0" distR="0" wp14:anchorId="266F3D1B" wp14:editId="5842E672">
            <wp:extent cx="1828956" cy="1817101"/>
            <wp:effectExtent l="0" t="0" r="0" b="0"/>
            <wp:docPr id="25287029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55672" cy="1843643"/>
                    </a:xfrm>
                    <a:prstGeom prst="rect">
                      <a:avLst/>
                    </a:prstGeom>
                    <a:noFill/>
                    <a:ln>
                      <a:noFill/>
                    </a:ln>
                  </pic:spPr>
                </pic:pic>
              </a:graphicData>
            </a:graphic>
          </wp:inline>
        </w:drawing>
      </w:r>
    </w:p>
    <w:p w14:paraId="104ACA39" w14:textId="77777777" w:rsidR="0058093F" w:rsidRPr="003D33D4" w:rsidRDefault="0058093F" w:rsidP="00175648">
      <w:pPr>
        <w:spacing w:after="0" w:line="240" w:lineRule="auto"/>
        <w:ind w:right="-180"/>
        <w:jc w:val="center"/>
        <w:rPr>
          <w:rFonts w:ascii="Aptos" w:eastAsia="Times New Roman" w:hAnsi="Aptos" w:cs="Arial"/>
          <w:b/>
          <w:kern w:val="0"/>
          <w:sz w:val="48"/>
          <w:szCs w:val="20"/>
          <w14:ligatures w14:val="none"/>
        </w:rPr>
      </w:pPr>
    </w:p>
    <w:p w14:paraId="2C555680" w14:textId="51881A91" w:rsidR="00175648" w:rsidRPr="003D33D4" w:rsidRDefault="00175648" w:rsidP="00175648">
      <w:pPr>
        <w:spacing w:after="0" w:line="240" w:lineRule="auto"/>
        <w:ind w:right="-180"/>
        <w:jc w:val="center"/>
        <w:rPr>
          <w:rFonts w:ascii="Aptos" w:eastAsia="Times New Roman" w:hAnsi="Aptos" w:cs="Arial"/>
          <w:b/>
          <w:kern w:val="0"/>
          <w:sz w:val="48"/>
          <w:szCs w:val="20"/>
          <w14:ligatures w14:val="none"/>
        </w:rPr>
      </w:pPr>
      <w:r w:rsidRPr="003D33D4">
        <w:rPr>
          <w:rFonts w:ascii="Aptos" w:eastAsia="Times New Roman" w:hAnsi="Aptos" w:cs="Arial"/>
          <w:b/>
          <w:kern w:val="0"/>
          <w:sz w:val="48"/>
          <w:szCs w:val="20"/>
          <w14:ligatures w14:val="none"/>
        </w:rPr>
        <w:t>202</w:t>
      </w:r>
      <w:r w:rsidR="0058093F" w:rsidRPr="003D33D4">
        <w:rPr>
          <w:rFonts w:ascii="Aptos" w:eastAsia="Times New Roman" w:hAnsi="Aptos" w:cs="Arial"/>
          <w:b/>
          <w:kern w:val="0"/>
          <w:sz w:val="48"/>
          <w:szCs w:val="20"/>
          <w14:ligatures w14:val="none"/>
        </w:rPr>
        <w:t>5</w:t>
      </w:r>
      <w:r w:rsidRPr="003D33D4">
        <w:rPr>
          <w:rFonts w:ascii="Aptos" w:eastAsia="Times New Roman" w:hAnsi="Aptos" w:cs="Arial"/>
          <w:b/>
          <w:kern w:val="0"/>
          <w:sz w:val="48"/>
          <w:szCs w:val="20"/>
          <w14:ligatures w14:val="none"/>
        </w:rPr>
        <w:t xml:space="preserve"> Integrated Resource Plan</w:t>
      </w:r>
    </w:p>
    <w:p w14:paraId="60E44058" w14:textId="77777777" w:rsidR="00175648" w:rsidRPr="003D33D4" w:rsidRDefault="00175648" w:rsidP="00175648">
      <w:pPr>
        <w:spacing w:before="240" w:after="0" w:line="240" w:lineRule="auto"/>
        <w:ind w:right="-187"/>
        <w:jc w:val="center"/>
        <w:rPr>
          <w:rFonts w:ascii="Aptos" w:eastAsia="Times New Roman" w:hAnsi="Aptos" w:cs="Arial"/>
          <w:b/>
          <w:kern w:val="0"/>
          <w:sz w:val="48"/>
          <w:szCs w:val="20"/>
          <w14:ligatures w14:val="none"/>
        </w:rPr>
      </w:pPr>
      <w:r w:rsidRPr="003D33D4">
        <w:rPr>
          <w:rFonts w:ascii="Aptos" w:eastAsia="Times New Roman" w:hAnsi="Aptos" w:cs="Arial"/>
          <w:b/>
          <w:kern w:val="0"/>
          <w:sz w:val="48"/>
          <w:szCs w:val="20"/>
          <w14:ligatures w14:val="none"/>
        </w:rPr>
        <w:t>Resource Mix Study</w:t>
      </w:r>
    </w:p>
    <w:p w14:paraId="2F8553A0" w14:textId="77777777" w:rsidR="00175648" w:rsidRPr="003D33D4" w:rsidRDefault="00175648" w:rsidP="00175648">
      <w:pPr>
        <w:spacing w:after="0" w:line="240" w:lineRule="auto"/>
        <w:ind w:right="-180"/>
        <w:jc w:val="center"/>
        <w:rPr>
          <w:rFonts w:ascii="Aptos" w:eastAsia="Times New Roman" w:hAnsi="Aptos" w:cs="Arial"/>
          <w:b/>
          <w:kern w:val="0"/>
          <w:sz w:val="48"/>
          <w:szCs w:val="20"/>
          <w14:ligatures w14:val="none"/>
        </w:rPr>
      </w:pPr>
    </w:p>
    <w:p w14:paraId="63F8C1C4" w14:textId="77777777" w:rsidR="00175648" w:rsidRPr="003D33D4" w:rsidRDefault="00175648" w:rsidP="00175648">
      <w:pPr>
        <w:spacing w:after="0" w:line="240" w:lineRule="auto"/>
        <w:rPr>
          <w:rFonts w:ascii="Aptos" w:eastAsia="Times New Roman" w:hAnsi="Aptos" w:cs="Arial"/>
          <w:kern w:val="0"/>
          <w:sz w:val="20"/>
          <w:szCs w:val="20"/>
          <w14:ligatures w14:val="none"/>
        </w:rPr>
      </w:pPr>
    </w:p>
    <w:p w14:paraId="592E792F" w14:textId="77777777" w:rsidR="00175648" w:rsidRPr="003D33D4" w:rsidRDefault="00175648" w:rsidP="00175648">
      <w:pPr>
        <w:spacing w:after="0" w:line="240" w:lineRule="auto"/>
        <w:rPr>
          <w:rFonts w:ascii="Aptos" w:eastAsia="Times New Roman" w:hAnsi="Aptos" w:cs="Arial"/>
          <w:kern w:val="0"/>
          <w:sz w:val="20"/>
          <w:szCs w:val="20"/>
          <w14:ligatures w14:val="none"/>
        </w:rPr>
      </w:pPr>
    </w:p>
    <w:p w14:paraId="66EBD903" w14:textId="77777777" w:rsidR="00175648" w:rsidRPr="003D33D4" w:rsidRDefault="00175648" w:rsidP="00175648">
      <w:pPr>
        <w:spacing w:after="0" w:line="240" w:lineRule="auto"/>
        <w:rPr>
          <w:rFonts w:ascii="Aptos" w:eastAsia="Times New Roman" w:hAnsi="Aptos" w:cs="Arial"/>
          <w:kern w:val="0"/>
          <w:sz w:val="20"/>
          <w:szCs w:val="20"/>
          <w14:ligatures w14:val="none"/>
        </w:rPr>
      </w:pPr>
    </w:p>
    <w:p w14:paraId="00F1393C" w14:textId="77777777" w:rsidR="00175648" w:rsidRPr="003D33D4" w:rsidRDefault="00175648" w:rsidP="00175648">
      <w:pPr>
        <w:spacing w:after="0" w:line="240" w:lineRule="auto"/>
        <w:rPr>
          <w:rFonts w:ascii="Aptos" w:eastAsia="Times New Roman" w:hAnsi="Aptos" w:cs="Arial"/>
          <w:kern w:val="0"/>
          <w:sz w:val="20"/>
          <w:szCs w:val="20"/>
          <w14:ligatures w14:val="none"/>
        </w:rPr>
      </w:pPr>
    </w:p>
    <w:p w14:paraId="412D70EA" w14:textId="77777777" w:rsidR="00175648" w:rsidRPr="003D33D4" w:rsidRDefault="00175648" w:rsidP="00175648">
      <w:pPr>
        <w:spacing w:after="0" w:line="240" w:lineRule="auto"/>
        <w:rPr>
          <w:rFonts w:ascii="Aptos" w:eastAsia="Times New Roman" w:hAnsi="Aptos" w:cs="Arial"/>
          <w:kern w:val="0"/>
          <w:sz w:val="20"/>
          <w:szCs w:val="20"/>
          <w14:ligatures w14:val="none"/>
        </w:rPr>
      </w:pPr>
    </w:p>
    <w:p w14:paraId="07518ABE" w14:textId="77777777" w:rsidR="00175648" w:rsidRPr="003D33D4" w:rsidRDefault="00175648" w:rsidP="00175648">
      <w:pPr>
        <w:spacing w:after="0" w:line="240" w:lineRule="auto"/>
        <w:rPr>
          <w:rFonts w:ascii="Aptos" w:eastAsia="Times New Roman" w:hAnsi="Aptos" w:cs="Arial"/>
          <w:kern w:val="0"/>
          <w:sz w:val="20"/>
          <w:szCs w:val="20"/>
          <w14:ligatures w14:val="none"/>
        </w:rPr>
      </w:pPr>
    </w:p>
    <w:p w14:paraId="5E444FC5" w14:textId="77777777" w:rsidR="00175648" w:rsidRPr="003D33D4" w:rsidRDefault="00175648" w:rsidP="00175648">
      <w:pPr>
        <w:spacing w:after="0" w:line="240" w:lineRule="auto"/>
        <w:rPr>
          <w:rFonts w:ascii="Aptos" w:eastAsia="Times New Roman" w:hAnsi="Aptos" w:cs="Arial"/>
          <w:kern w:val="0"/>
          <w:sz w:val="20"/>
          <w:szCs w:val="20"/>
          <w14:ligatures w14:val="none"/>
        </w:rPr>
      </w:pPr>
    </w:p>
    <w:p w14:paraId="7DB533F8" w14:textId="77777777" w:rsidR="00175648" w:rsidRPr="003D33D4" w:rsidRDefault="00175648" w:rsidP="00175648">
      <w:pPr>
        <w:spacing w:after="0" w:line="240" w:lineRule="auto"/>
        <w:rPr>
          <w:rFonts w:ascii="Aptos" w:eastAsia="Times New Roman" w:hAnsi="Aptos" w:cs="Arial"/>
          <w:kern w:val="0"/>
          <w:sz w:val="20"/>
          <w:szCs w:val="20"/>
          <w14:ligatures w14:val="none"/>
        </w:rPr>
      </w:pPr>
    </w:p>
    <w:p w14:paraId="2B97B784" w14:textId="77777777" w:rsidR="00175648" w:rsidRPr="003D33D4" w:rsidRDefault="00175648" w:rsidP="00175648">
      <w:pPr>
        <w:spacing w:after="0" w:line="240" w:lineRule="auto"/>
        <w:rPr>
          <w:rFonts w:ascii="Aptos" w:eastAsia="Times New Roman" w:hAnsi="Aptos" w:cs="Arial"/>
          <w:kern w:val="0"/>
          <w:sz w:val="20"/>
          <w:szCs w:val="20"/>
          <w14:ligatures w14:val="none"/>
        </w:rPr>
      </w:pPr>
    </w:p>
    <w:p w14:paraId="766817B2" w14:textId="77777777" w:rsidR="00175648" w:rsidRPr="003D33D4" w:rsidRDefault="00175648" w:rsidP="00175648">
      <w:pPr>
        <w:spacing w:after="0" w:line="240" w:lineRule="auto"/>
        <w:rPr>
          <w:rFonts w:ascii="Aptos" w:eastAsia="Times New Roman" w:hAnsi="Aptos" w:cs="Arial"/>
          <w:kern w:val="0"/>
          <w:sz w:val="20"/>
          <w:szCs w:val="20"/>
          <w14:ligatures w14:val="none"/>
        </w:rPr>
      </w:pPr>
    </w:p>
    <w:p w14:paraId="1261F237" w14:textId="77777777" w:rsidR="00175648" w:rsidRPr="003D33D4" w:rsidRDefault="00175648" w:rsidP="00175648">
      <w:pPr>
        <w:spacing w:after="0" w:line="240" w:lineRule="auto"/>
        <w:rPr>
          <w:rFonts w:ascii="Aptos" w:eastAsia="Times New Roman" w:hAnsi="Aptos" w:cs="Arial"/>
          <w:kern w:val="0"/>
          <w:sz w:val="20"/>
          <w:szCs w:val="20"/>
          <w14:ligatures w14:val="none"/>
        </w:rPr>
      </w:pPr>
    </w:p>
    <w:p w14:paraId="5295E6D8" w14:textId="77777777" w:rsidR="00175648" w:rsidRPr="003D33D4" w:rsidRDefault="00175648" w:rsidP="00175648">
      <w:pPr>
        <w:spacing w:before="60" w:after="0" w:line="240" w:lineRule="auto"/>
        <w:jc w:val="center"/>
        <w:rPr>
          <w:rFonts w:ascii="Aptos" w:eastAsia="Times New Roman" w:hAnsi="Aptos" w:cs="Arial"/>
          <w:kern w:val="0"/>
          <w:sz w:val="20"/>
          <w:szCs w:val="20"/>
          <w14:ligatures w14:val="none"/>
        </w:rPr>
      </w:pPr>
    </w:p>
    <w:p w14:paraId="5BC5D584" w14:textId="77777777" w:rsidR="00175648" w:rsidRPr="003D33D4" w:rsidRDefault="00175648" w:rsidP="00175648">
      <w:pPr>
        <w:spacing w:before="60" w:after="0" w:line="240" w:lineRule="auto"/>
        <w:jc w:val="center"/>
        <w:rPr>
          <w:rFonts w:ascii="Aptos" w:eastAsia="Times New Roman" w:hAnsi="Aptos" w:cs="Arial"/>
          <w:kern w:val="0"/>
          <w:sz w:val="20"/>
          <w:szCs w:val="20"/>
          <w14:ligatures w14:val="none"/>
        </w:rPr>
      </w:pPr>
    </w:p>
    <w:p w14:paraId="4F9D1C1E" w14:textId="77777777" w:rsidR="00175648" w:rsidRPr="003D33D4" w:rsidRDefault="00175648" w:rsidP="00175648">
      <w:pPr>
        <w:spacing w:before="60" w:after="0" w:line="240" w:lineRule="auto"/>
        <w:jc w:val="center"/>
        <w:rPr>
          <w:rFonts w:ascii="Aptos" w:eastAsia="Times New Roman" w:hAnsi="Aptos" w:cs="Arial"/>
          <w:kern w:val="0"/>
          <w:sz w:val="20"/>
          <w:szCs w:val="20"/>
          <w14:ligatures w14:val="none"/>
        </w:rPr>
      </w:pPr>
    </w:p>
    <w:p w14:paraId="594C8BB4" w14:textId="77777777" w:rsidR="00175648" w:rsidRPr="003D33D4" w:rsidRDefault="00175648" w:rsidP="00175648">
      <w:pPr>
        <w:spacing w:before="60" w:after="0" w:line="240" w:lineRule="auto"/>
        <w:jc w:val="center"/>
        <w:rPr>
          <w:rFonts w:ascii="Aptos" w:eastAsia="Times New Roman" w:hAnsi="Aptos" w:cs="Arial"/>
          <w:kern w:val="0"/>
          <w:sz w:val="20"/>
          <w:szCs w:val="20"/>
          <w14:ligatures w14:val="none"/>
        </w:rPr>
      </w:pPr>
    </w:p>
    <w:p w14:paraId="68986C4D" w14:textId="77777777" w:rsidR="00175648" w:rsidRPr="003D33D4" w:rsidRDefault="00175648" w:rsidP="00175648">
      <w:pPr>
        <w:spacing w:before="60" w:after="0" w:line="240" w:lineRule="auto"/>
        <w:jc w:val="center"/>
        <w:rPr>
          <w:rFonts w:ascii="Aptos" w:eastAsia="Times New Roman" w:hAnsi="Aptos" w:cs="Arial"/>
          <w:kern w:val="0"/>
          <w:sz w:val="20"/>
          <w:szCs w:val="20"/>
          <w14:ligatures w14:val="none"/>
        </w:rPr>
      </w:pPr>
    </w:p>
    <w:p w14:paraId="3A7FC61A" w14:textId="77777777" w:rsidR="00175648" w:rsidRPr="003D33D4" w:rsidRDefault="00175648" w:rsidP="00175648">
      <w:pPr>
        <w:spacing w:before="60" w:after="0" w:line="240" w:lineRule="auto"/>
        <w:jc w:val="center"/>
        <w:rPr>
          <w:rFonts w:ascii="Aptos" w:eastAsia="Times New Roman" w:hAnsi="Aptos" w:cs="Arial"/>
          <w:kern w:val="0"/>
          <w:sz w:val="20"/>
          <w:szCs w:val="20"/>
          <w14:ligatures w14:val="none"/>
        </w:rPr>
      </w:pPr>
    </w:p>
    <w:p w14:paraId="52DF9E26" w14:textId="77777777" w:rsidR="00175648" w:rsidRPr="003D33D4" w:rsidRDefault="00175648" w:rsidP="00175648">
      <w:pPr>
        <w:spacing w:before="60" w:after="0" w:line="240" w:lineRule="auto"/>
        <w:jc w:val="center"/>
        <w:rPr>
          <w:rFonts w:ascii="Aptos" w:eastAsia="Times New Roman" w:hAnsi="Aptos" w:cs="Arial"/>
          <w:kern w:val="0"/>
          <w:sz w:val="20"/>
          <w:szCs w:val="20"/>
          <w14:ligatures w14:val="none"/>
        </w:rPr>
      </w:pPr>
    </w:p>
    <w:p w14:paraId="67C2F550" w14:textId="77777777" w:rsidR="00175648" w:rsidRPr="003D33D4" w:rsidRDefault="00175648" w:rsidP="00175648">
      <w:pPr>
        <w:spacing w:before="60" w:after="0" w:line="240" w:lineRule="auto"/>
        <w:jc w:val="center"/>
        <w:rPr>
          <w:rFonts w:ascii="Aptos" w:eastAsia="Times New Roman" w:hAnsi="Aptos" w:cs="Arial"/>
          <w:kern w:val="0"/>
          <w:sz w:val="20"/>
          <w:szCs w:val="20"/>
          <w14:ligatures w14:val="none"/>
        </w:rPr>
      </w:pPr>
    </w:p>
    <w:p w14:paraId="3D49F247" w14:textId="77777777" w:rsidR="00175648" w:rsidRPr="003D33D4" w:rsidRDefault="00175648" w:rsidP="00175648">
      <w:pPr>
        <w:spacing w:before="60" w:after="0" w:line="240" w:lineRule="auto"/>
        <w:jc w:val="center"/>
        <w:rPr>
          <w:rFonts w:ascii="Aptos" w:eastAsia="Times New Roman" w:hAnsi="Aptos" w:cs="Arial"/>
          <w:kern w:val="0"/>
          <w:sz w:val="20"/>
          <w:szCs w:val="20"/>
          <w14:ligatures w14:val="none"/>
        </w:rPr>
      </w:pPr>
    </w:p>
    <w:p w14:paraId="0641E2E6" w14:textId="77777777" w:rsidR="0042091B" w:rsidRPr="003D33D4" w:rsidRDefault="00175648" w:rsidP="00175648">
      <w:pPr>
        <w:spacing w:before="60" w:after="0" w:line="240" w:lineRule="auto"/>
        <w:jc w:val="center"/>
        <w:rPr>
          <w:rFonts w:ascii="Aptos" w:eastAsia="Times New Roman" w:hAnsi="Aptos" w:cs="Arial"/>
          <w:kern w:val="0"/>
          <w:sz w:val="28"/>
          <w:szCs w:val="28"/>
          <w14:ligatures w14:val="none"/>
        </w:rPr>
        <w:sectPr w:rsidR="0042091B" w:rsidRPr="003D33D4" w:rsidSect="00313AAA">
          <w:headerReference w:type="default" r:id="rId9"/>
          <w:footerReference w:type="default" r:id="rId10"/>
          <w:headerReference w:type="first" r:id="rId11"/>
          <w:footerReference w:type="first" r:id="rId12"/>
          <w:pgSz w:w="12240" w:h="15840"/>
          <w:pgMar w:top="1440" w:right="1440" w:bottom="1440" w:left="1440" w:header="720" w:footer="720" w:gutter="0"/>
          <w:cols w:space="720"/>
          <w:titlePg/>
          <w:docGrid w:linePitch="360"/>
        </w:sectPr>
      </w:pPr>
      <w:r w:rsidRPr="003D33D4">
        <w:rPr>
          <w:rFonts w:ascii="Aptos" w:eastAsia="Times New Roman" w:hAnsi="Aptos" w:cs="Arial"/>
          <w:kern w:val="0"/>
          <w:sz w:val="28"/>
          <w:szCs w:val="28"/>
          <w14:ligatures w14:val="none"/>
        </w:rPr>
        <w:t>January 2025</w:t>
      </w:r>
    </w:p>
    <w:sdt>
      <w:sdtPr>
        <w:rPr>
          <w:rFonts w:asciiTheme="minorHAnsi" w:eastAsiaTheme="minorEastAsia" w:hAnsiTheme="minorHAnsi" w:cstheme="minorBidi"/>
          <w:color w:val="auto"/>
          <w:kern w:val="2"/>
          <w:sz w:val="22"/>
          <w:szCs w:val="22"/>
        </w:rPr>
        <w:id w:val="1943881229"/>
        <w:docPartObj>
          <w:docPartGallery w:val="Table of Contents"/>
          <w:docPartUnique/>
        </w:docPartObj>
      </w:sdtPr>
      <w:sdtEndPr>
        <w:rPr>
          <w:noProof/>
        </w:rPr>
      </w:sdtEndPr>
      <w:sdtContent>
        <w:p w14:paraId="397F27CA" w14:textId="30E5DEED" w:rsidR="008B2794" w:rsidRDefault="008B2794" w:rsidP="00D86E63">
          <w:pPr>
            <w:pStyle w:val="TOCHeading"/>
          </w:pPr>
          <w:r>
            <w:t>Table of Contents</w:t>
          </w:r>
        </w:p>
        <w:p w14:paraId="32C43CCB" w14:textId="0F7701E2" w:rsidR="0021265E" w:rsidRDefault="008B2794">
          <w:pPr>
            <w:pStyle w:val="TOC1"/>
            <w:tabs>
              <w:tab w:val="right" w:leader="dot" w:pos="9350"/>
            </w:tabs>
            <w:rPr>
              <w:rFonts w:cstheme="minorBidi"/>
              <w:noProof/>
              <w:kern w:val="2"/>
              <w:sz w:val="24"/>
              <w:szCs w:val="24"/>
            </w:rPr>
          </w:pPr>
          <w:r>
            <w:fldChar w:fldCharType="begin"/>
          </w:r>
          <w:r>
            <w:instrText xml:space="preserve"> TOC \o "1-3" \h \z \u </w:instrText>
          </w:r>
          <w:r>
            <w:fldChar w:fldCharType="separate"/>
          </w:r>
          <w:hyperlink w:anchor="_Toc188405615" w:history="1">
            <w:r w:rsidR="0021265E" w:rsidRPr="008B34E8">
              <w:rPr>
                <w:rStyle w:val="Hyperlink"/>
                <w:noProof/>
              </w:rPr>
              <w:t>1 Summary</w:t>
            </w:r>
            <w:r w:rsidR="0021265E">
              <w:rPr>
                <w:noProof/>
                <w:webHidden/>
              </w:rPr>
              <w:tab/>
            </w:r>
            <w:r w:rsidR="0021265E">
              <w:rPr>
                <w:noProof/>
                <w:webHidden/>
              </w:rPr>
              <w:fldChar w:fldCharType="begin"/>
            </w:r>
            <w:r w:rsidR="0021265E">
              <w:rPr>
                <w:noProof/>
                <w:webHidden/>
              </w:rPr>
              <w:instrText xml:space="preserve"> PAGEREF _Toc188405615 \h </w:instrText>
            </w:r>
            <w:r w:rsidR="0021265E">
              <w:rPr>
                <w:noProof/>
                <w:webHidden/>
              </w:rPr>
            </w:r>
            <w:r w:rsidR="0021265E">
              <w:rPr>
                <w:noProof/>
                <w:webHidden/>
              </w:rPr>
              <w:fldChar w:fldCharType="separate"/>
            </w:r>
            <w:r w:rsidR="0021265E">
              <w:rPr>
                <w:noProof/>
                <w:webHidden/>
              </w:rPr>
              <w:t>1</w:t>
            </w:r>
            <w:r w:rsidR="0021265E">
              <w:rPr>
                <w:noProof/>
                <w:webHidden/>
              </w:rPr>
              <w:fldChar w:fldCharType="end"/>
            </w:r>
          </w:hyperlink>
        </w:p>
        <w:p w14:paraId="2D5D0333" w14:textId="3EAF471A" w:rsidR="0021265E" w:rsidRDefault="0021265E">
          <w:pPr>
            <w:pStyle w:val="TOC1"/>
            <w:tabs>
              <w:tab w:val="right" w:leader="dot" w:pos="9350"/>
            </w:tabs>
            <w:rPr>
              <w:rFonts w:cstheme="minorBidi"/>
              <w:noProof/>
              <w:kern w:val="2"/>
              <w:sz w:val="24"/>
              <w:szCs w:val="24"/>
            </w:rPr>
          </w:pPr>
          <w:hyperlink w:anchor="_Toc188405616" w:history="1">
            <w:r w:rsidRPr="008B34E8">
              <w:rPr>
                <w:rStyle w:val="Hyperlink"/>
                <w:noProof/>
              </w:rPr>
              <w:t>2 Scenarios</w:t>
            </w:r>
            <w:r>
              <w:rPr>
                <w:noProof/>
                <w:webHidden/>
              </w:rPr>
              <w:tab/>
            </w:r>
            <w:r>
              <w:rPr>
                <w:noProof/>
                <w:webHidden/>
              </w:rPr>
              <w:fldChar w:fldCharType="begin"/>
            </w:r>
            <w:r>
              <w:rPr>
                <w:noProof/>
                <w:webHidden/>
              </w:rPr>
              <w:instrText xml:space="preserve"> PAGEREF _Toc188405616 \h </w:instrText>
            </w:r>
            <w:r>
              <w:rPr>
                <w:noProof/>
                <w:webHidden/>
              </w:rPr>
            </w:r>
            <w:r>
              <w:rPr>
                <w:noProof/>
                <w:webHidden/>
              </w:rPr>
              <w:fldChar w:fldCharType="separate"/>
            </w:r>
            <w:r>
              <w:rPr>
                <w:noProof/>
                <w:webHidden/>
              </w:rPr>
              <w:t>3</w:t>
            </w:r>
            <w:r>
              <w:rPr>
                <w:noProof/>
                <w:webHidden/>
              </w:rPr>
              <w:fldChar w:fldCharType="end"/>
            </w:r>
          </w:hyperlink>
        </w:p>
        <w:p w14:paraId="645091FE" w14:textId="51B30C37" w:rsidR="0021265E" w:rsidRDefault="0021265E">
          <w:pPr>
            <w:pStyle w:val="TOC2"/>
            <w:tabs>
              <w:tab w:val="right" w:leader="dot" w:pos="9350"/>
            </w:tabs>
            <w:rPr>
              <w:rFonts w:cstheme="minorBidi"/>
              <w:noProof/>
              <w:kern w:val="2"/>
              <w:sz w:val="24"/>
              <w:szCs w:val="24"/>
            </w:rPr>
          </w:pPr>
          <w:hyperlink w:anchor="_Toc188405617" w:history="1">
            <w:r w:rsidRPr="008B34E8">
              <w:rPr>
                <w:rStyle w:val="Hyperlink"/>
                <w:noProof/>
              </w:rPr>
              <w:t>2.1 Budget 2025 Scenarios</w:t>
            </w:r>
            <w:r>
              <w:rPr>
                <w:noProof/>
                <w:webHidden/>
              </w:rPr>
              <w:tab/>
            </w:r>
            <w:r>
              <w:rPr>
                <w:noProof/>
                <w:webHidden/>
              </w:rPr>
              <w:fldChar w:fldCharType="begin"/>
            </w:r>
            <w:r>
              <w:rPr>
                <w:noProof/>
                <w:webHidden/>
              </w:rPr>
              <w:instrText xml:space="preserve"> PAGEREF _Toc188405617 \h </w:instrText>
            </w:r>
            <w:r>
              <w:rPr>
                <w:noProof/>
                <w:webHidden/>
              </w:rPr>
            </w:r>
            <w:r>
              <w:rPr>
                <w:noProof/>
                <w:webHidden/>
              </w:rPr>
              <w:fldChar w:fldCharType="separate"/>
            </w:r>
            <w:r>
              <w:rPr>
                <w:noProof/>
                <w:webHidden/>
              </w:rPr>
              <w:t>4</w:t>
            </w:r>
            <w:r>
              <w:rPr>
                <w:noProof/>
                <w:webHidden/>
              </w:rPr>
              <w:fldChar w:fldCharType="end"/>
            </w:r>
          </w:hyperlink>
        </w:p>
        <w:p w14:paraId="01FDAEA5" w14:textId="7EB39529" w:rsidR="0021265E" w:rsidRDefault="0021265E">
          <w:pPr>
            <w:pStyle w:val="TOC2"/>
            <w:tabs>
              <w:tab w:val="right" w:leader="dot" w:pos="9350"/>
            </w:tabs>
            <w:rPr>
              <w:rFonts w:cstheme="minorBidi"/>
              <w:noProof/>
              <w:kern w:val="2"/>
              <w:sz w:val="24"/>
              <w:szCs w:val="24"/>
            </w:rPr>
          </w:pPr>
          <w:hyperlink w:anchor="_Toc188405618" w:history="1">
            <w:r w:rsidRPr="008B34E8">
              <w:rPr>
                <w:rStyle w:val="Hyperlink"/>
                <w:noProof/>
              </w:rPr>
              <w:t>2.2 Scenario Views</w:t>
            </w:r>
            <w:r>
              <w:rPr>
                <w:noProof/>
                <w:webHidden/>
              </w:rPr>
              <w:tab/>
            </w:r>
            <w:r>
              <w:rPr>
                <w:noProof/>
                <w:webHidden/>
              </w:rPr>
              <w:fldChar w:fldCharType="begin"/>
            </w:r>
            <w:r>
              <w:rPr>
                <w:noProof/>
                <w:webHidden/>
              </w:rPr>
              <w:instrText xml:space="preserve"> PAGEREF _Toc188405618 \h </w:instrText>
            </w:r>
            <w:r>
              <w:rPr>
                <w:noProof/>
                <w:webHidden/>
              </w:rPr>
            </w:r>
            <w:r>
              <w:rPr>
                <w:noProof/>
                <w:webHidden/>
              </w:rPr>
              <w:fldChar w:fldCharType="separate"/>
            </w:r>
            <w:r>
              <w:rPr>
                <w:noProof/>
                <w:webHidden/>
              </w:rPr>
              <w:t>5</w:t>
            </w:r>
            <w:r>
              <w:rPr>
                <w:noProof/>
                <w:webHidden/>
              </w:rPr>
              <w:fldChar w:fldCharType="end"/>
            </w:r>
          </w:hyperlink>
        </w:p>
        <w:p w14:paraId="7C219C98" w14:textId="4ADB2989" w:rsidR="0021265E" w:rsidRDefault="0021265E">
          <w:pPr>
            <w:pStyle w:val="TOC3"/>
            <w:tabs>
              <w:tab w:val="right" w:leader="dot" w:pos="9350"/>
            </w:tabs>
            <w:rPr>
              <w:rFonts w:cstheme="minorBidi"/>
              <w:noProof/>
              <w:kern w:val="2"/>
              <w:sz w:val="24"/>
              <w:szCs w:val="24"/>
            </w:rPr>
          </w:pPr>
          <w:hyperlink w:anchor="_Toc188405619" w:history="1">
            <w:r w:rsidRPr="008B34E8">
              <w:rPr>
                <w:rStyle w:val="Hyperlink"/>
                <w:noProof/>
              </w:rPr>
              <w:t>2.2.1 Greenhouse Gas Pressure Views</w:t>
            </w:r>
            <w:r>
              <w:rPr>
                <w:noProof/>
                <w:webHidden/>
              </w:rPr>
              <w:tab/>
            </w:r>
            <w:r>
              <w:rPr>
                <w:noProof/>
                <w:webHidden/>
              </w:rPr>
              <w:fldChar w:fldCharType="begin"/>
            </w:r>
            <w:r>
              <w:rPr>
                <w:noProof/>
                <w:webHidden/>
              </w:rPr>
              <w:instrText xml:space="preserve"> PAGEREF _Toc188405619 \h </w:instrText>
            </w:r>
            <w:r>
              <w:rPr>
                <w:noProof/>
                <w:webHidden/>
              </w:rPr>
            </w:r>
            <w:r>
              <w:rPr>
                <w:noProof/>
                <w:webHidden/>
              </w:rPr>
              <w:fldChar w:fldCharType="separate"/>
            </w:r>
            <w:r>
              <w:rPr>
                <w:noProof/>
                <w:webHidden/>
              </w:rPr>
              <w:t>5</w:t>
            </w:r>
            <w:r>
              <w:rPr>
                <w:noProof/>
                <w:webHidden/>
              </w:rPr>
              <w:fldChar w:fldCharType="end"/>
            </w:r>
          </w:hyperlink>
        </w:p>
        <w:p w14:paraId="30817D51" w14:textId="2C1A6C20" w:rsidR="0021265E" w:rsidRDefault="0021265E">
          <w:pPr>
            <w:pStyle w:val="TOC3"/>
            <w:tabs>
              <w:tab w:val="right" w:leader="dot" w:pos="9350"/>
            </w:tabs>
            <w:rPr>
              <w:rFonts w:cstheme="minorBidi"/>
              <w:noProof/>
              <w:kern w:val="2"/>
              <w:sz w:val="24"/>
              <w:szCs w:val="24"/>
            </w:rPr>
          </w:pPr>
          <w:hyperlink w:anchor="_Toc188405620" w:history="1">
            <w:r w:rsidRPr="008B34E8">
              <w:rPr>
                <w:rStyle w:val="Hyperlink"/>
                <w:noProof/>
              </w:rPr>
              <w:t>2.2.2 Technology Cost and Performance Views</w:t>
            </w:r>
            <w:r>
              <w:rPr>
                <w:noProof/>
                <w:webHidden/>
              </w:rPr>
              <w:tab/>
            </w:r>
            <w:r>
              <w:rPr>
                <w:noProof/>
                <w:webHidden/>
              </w:rPr>
              <w:fldChar w:fldCharType="begin"/>
            </w:r>
            <w:r>
              <w:rPr>
                <w:noProof/>
                <w:webHidden/>
              </w:rPr>
              <w:instrText xml:space="preserve"> PAGEREF _Toc188405620 \h </w:instrText>
            </w:r>
            <w:r>
              <w:rPr>
                <w:noProof/>
                <w:webHidden/>
              </w:rPr>
            </w:r>
            <w:r>
              <w:rPr>
                <w:noProof/>
                <w:webHidden/>
              </w:rPr>
              <w:fldChar w:fldCharType="separate"/>
            </w:r>
            <w:r>
              <w:rPr>
                <w:noProof/>
                <w:webHidden/>
              </w:rPr>
              <w:t>7</w:t>
            </w:r>
            <w:r>
              <w:rPr>
                <w:noProof/>
                <w:webHidden/>
              </w:rPr>
              <w:fldChar w:fldCharType="end"/>
            </w:r>
          </w:hyperlink>
        </w:p>
        <w:p w14:paraId="72B14DD6" w14:textId="092AD267" w:rsidR="0021265E" w:rsidRDefault="0021265E">
          <w:pPr>
            <w:pStyle w:val="TOC3"/>
            <w:tabs>
              <w:tab w:val="right" w:leader="dot" w:pos="9350"/>
            </w:tabs>
            <w:rPr>
              <w:rFonts w:cstheme="minorBidi"/>
              <w:noProof/>
              <w:kern w:val="2"/>
              <w:sz w:val="24"/>
              <w:szCs w:val="24"/>
            </w:rPr>
          </w:pPr>
          <w:hyperlink w:anchor="_Toc188405621" w:history="1">
            <w:r w:rsidRPr="008B34E8">
              <w:rPr>
                <w:rStyle w:val="Hyperlink"/>
                <w:noProof/>
              </w:rPr>
              <w:t>2.2.3 Load Views</w:t>
            </w:r>
            <w:r>
              <w:rPr>
                <w:noProof/>
                <w:webHidden/>
              </w:rPr>
              <w:tab/>
            </w:r>
            <w:r>
              <w:rPr>
                <w:noProof/>
                <w:webHidden/>
              </w:rPr>
              <w:fldChar w:fldCharType="begin"/>
            </w:r>
            <w:r>
              <w:rPr>
                <w:noProof/>
                <w:webHidden/>
              </w:rPr>
              <w:instrText xml:space="preserve"> PAGEREF _Toc188405621 \h </w:instrText>
            </w:r>
            <w:r>
              <w:rPr>
                <w:noProof/>
                <w:webHidden/>
              </w:rPr>
            </w:r>
            <w:r>
              <w:rPr>
                <w:noProof/>
                <w:webHidden/>
              </w:rPr>
              <w:fldChar w:fldCharType="separate"/>
            </w:r>
            <w:r>
              <w:rPr>
                <w:noProof/>
                <w:webHidden/>
              </w:rPr>
              <w:t>9</w:t>
            </w:r>
            <w:r>
              <w:rPr>
                <w:noProof/>
                <w:webHidden/>
              </w:rPr>
              <w:fldChar w:fldCharType="end"/>
            </w:r>
          </w:hyperlink>
        </w:p>
        <w:p w14:paraId="1703FA8A" w14:textId="04DCBD1A" w:rsidR="0021265E" w:rsidRDefault="0021265E">
          <w:pPr>
            <w:pStyle w:val="TOC3"/>
            <w:tabs>
              <w:tab w:val="right" w:leader="dot" w:pos="9350"/>
            </w:tabs>
            <w:rPr>
              <w:rFonts w:cstheme="minorBidi"/>
              <w:noProof/>
              <w:kern w:val="2"/>
              <w:sz w:val="24"/>
              <w:szCs w:val="24"/>
            </w:rPr>
          </w:pPr>
          <w:hyperlink w:anchor="_Toc188405622" w:history="1">
            <w:r w:rsidRPr="008B34E8">
              <w:rPr>
                <w:rStyle w:val="Hyperlink"/>
                <w:noProof/>
              </w:rPr>
              <w:t>2.2.4 Fuel Price Views</w:t>
            </w:r>
            <w:r>
              <w:rPr>
                <w:noProof/>
                <w:webHidden/>
              </w:rPr>
              <w:tab/>
            </w:r>
            <w:r>
              <w:rPr>
                <w:noProof/>
                <w:webHidden/>
              </w:rPr>
              <w:fldChar w:fldCharType="begin"/>
            </w:r>
            <w:r>
              <w:rPr>
                <w:noProof/>
                <w:webHidden/>
              </w:rPr>
              <w:instrText xml:space="preserve"> PAGEREF _Toc188405622 \h </w:instrText>
            </w:r>
            <w:r>
              <w:rPr>
                <w:noProof/>
                <w:webHidden/>
              </w:rPr>
            </w:r>
            <w:r>
              <w:rPr>
                <w:noProof/>
                <w:webHidden/>
              </w:rPr>
              <w:fldChar w:fldCharType="separate"/>
            </w:r>
            <w:r>
              <w:rPr>
                <w:noProof/>
                <w:webHidden/>
              </w:rPr>
              <w:t>11</w:t>
            </w:r>
            <w:r>
              <w:rPr>
                <w:noProof/>
                <w:webHidden/>
              </w:rPr>
              <w:fldChar w:fldCharType="end"/>
            </w:r>
          </w:hyperlink>
        </w:p>
        <w:p w14:paraId="0EAF33E9" w14:textId="194B8B3A" w:rsidR="0021265E" w:rsidRDefault="0021265E">
          <w:pPr>
            <w:pStyle w:val="TOC1"/>
            <w:tabs>
              <w:tab w:val="right" w:leader="dot" w:pos="9350"/>
            </w:tabs>
            <w:rPr>
              <w:rFonts w:cstheme="minorBidi"/>
              <w:noProof/>
              <w:kern w:val="2"/>
              <w:sz w:val="24"/>
              <w:szCs w:val="24"/>
            </w:rPr>
          </w:pPr>
          <w:hyperlink w:anchor="_Toc188405623" w:history="1">
            <w:r w:rsidRPr="008B34E8">
              <w:rPr>
                <w:rStyle w:val="Hyperlink"/>
                <w:noProof/>
              </w:rPr>
              <w:t>3 Model Input Assumptions</w:t>
            </w:r>
            <w:r>
              <w:rPr>
                <w:noProof/>
                <w:webHidden/>
              </w:rPr>
              <w:tab/>
            </w:r>
            <w:r>
              <w:rPr>
                <w:noProof/>
                <w:webHidden/>
              </w:rPr>
              <w:fldChar w:fldCharType="begin"/>
            </w:r>
            <w:r>
              <w:rPr>
                <w:noProof/>
                <w:webHidden/>
              </w:rPr>
              <w:instrText xml:space="preserve"> PAGEREF _Toc188405623 \h </w:instrText>
            </w:r>
            <w:r>
              <w:rPr>
                <w:noProof/>
                <w:webHidden/>
              </w:rPr>
            </w:r>
            <w:r>
              <w:rPr>
                <w:noProof/>
                <w:webHidden/>
              </w:rPr>
              <w:fldChar w:fldCharType="separate"/>
            </w:r>
            <w:r>
              <w:rPr>
                <w:noProof/>
                <w:webHidden/>
              </w:rPr>
              <w:t>13</w:t>
            </w:r>
            <w:r>
              <w:rPr>
                <w:noProof/>
                <w:webHidden/>
              </w:rPr>
              <w:fldChar w:fldCharType="end"/>
            </w:r>
          </w:hyperlink>
        </w:p>
        <w:p w14:paraId="726738D3" w14:textId="44ABCD13" w:rsidR="0021265E" w:rsidRDefault="0021265E">
          <w:pPr>
            <w:pStyle w:val="TOC2"/>
            <w:tabs>
              <w:tab w:val="right" w:leader="dot" w:pos="9350"/>
            </w:tabs>
            <w:rPr>
              <w:rFonts w:cstheme="minorBidi"/>
              <w:noProof/>
              <w:kern w:val="2"/>
              <w:sz w:val="24"/>
              <w:szCs w:val="24"/>
            </w:rPr>
          </w:pPr>
          <w:hyperlink w:anchor="_Toc188405624" w:history="1">
            <w:r w:rsidRPr="008B34E8">
              <w:rPr>
                <w:rStyle w:val="Hyperlink"/>
                <w:noProof/>
              </w:rPr>
              <w:t>3.1 Financial Assumptions</w:t>
            </w:r>
            <w:r>
              <w:rPr>
                <w:noProof/>
                <w:webHidden/>
              </w:rPr>
              <w:tab/>
            </w:r>
            <w:r>
              <w:rPr>
                <w:noProof/>
                <w:webHidden/>
              </w:rPr>
              <w:fldChar w:fldCharType="begin"/>
            </w:r>
            <w:r>
              <w:rPr>
                <w:noProof/>
                <w:webHidden/>
              </w:rPr>
              <w:instrText xml:space="preserve"> PAGEREF _Toc188405624 \h </w:instrText>
            </w:r>
            <w:r>
              <w:rPr>
                <w:noProof/>
                <w:webHidden/>
              </w:rPr>
            </w:r>
            <w:r>
              <w:rPr>
                <w:noProof/>
                <w:webHidden/>
              </w:rPr>
              <w:fldChar w:fldCharType="separate"/>
            </w:r>
            <w:r>
              <w:rPr>
                <w:noProof/>
                <w:webHidden/>
              </w:rPr>
              <w:t>13</w:t>
            </w:r>
            <w:r>
              <w:rPr>
                <w:noProof/>
                <w:webHidden/>
              </w:rPr>
              <w:fldChar w:fldCharType="end"/>
            </w:r>
          </w:hyperlink>
        </w:p>
        <w:p w14:paraId="7CFBE5EB" w14:textId="3E7044A6" w:rsidR="0021265E" w:rsidRDefault="0021265E">
          <w:pPr>
            <w:pStyle w:val="TOC2"/>
            <w:tabs>
              <w:tab w:val="right" w:leader="dot" w:pos="9350"/>
            </w:tabs>
            <w:rPr>
              <w:rFonts w:cstheme="minorBidi"/>
              <w:noProof/>
              <w:kern w:val="2"/>
              <w:sz w:val="24"/>
              <w:szCs w:val="24"/>
            </w:rPr>
          </w:pPr>
          <w:hyperlink w:anchor="_Toc188405625" w:history="1">
            <w:r w:rsidRPr="008B34E8">
              <w:rPr>
                <w:rStyle w:val="Hyperlink"/>
                <w:noProof/>
              </w:rPr>
              <w:t>3.2 Reserve Margin</w:t>
            </w:r>
            <w:r>
              <w:rPr>
                <w:noProof/>
                <w:webHidden/>
              </w:rPr>
              <w:tab/>
            </w:r>
            <w:r>
              <w:rPr>
                <w:noProof/>
                <w:webHidden/>
              </w:rPr>
              <w:fldChar w:fldCharType="begin"/>
            </w:r>
            <w:r>
              <w:rPr>
                <w:noProof/>
                <w:webHidden/>
              </w:rPr>
              <w:instrText xml:space="preserve"> PAGEREF _Toc188405625 \h </w:instrText>
            </w:r>
            <w:r>
              <w:rPr>
                <w:noProof/>
                <w:webHidden/>
              </w:rPr>
            </w:r>
            <w:r>
              <w:rPr>
                <w:noProof/>
                <w:webHidden/>
              </w:rPr>
              <w:fldChar w:fldCharType="separate"/>
            </w:r>
            <w:r>
              <w:rPr>
                <w:noProof/>
                <w:webHidden/>
              </w:rPr>
              <w:t>13</w:t>
            </w:r>
            <w:r>
              <w:rPr>
                <w:noProof/>
                <w:webHidden/>
              </w:rPr>
              <w:fldChar w:fldCharType="end"/>
            </w:r>
          </w:hyperlink>
        </w:p>
        <w:p w14:paraId="66B05E88" w14:textId="20B325E3" w:rsidR="0021265E" w:rsidRDefault="0021265E">
          <w:pPr>
            <w:pStyle w:val="TOC2"/>
            <w:tabs>
              <w:tab w:val="right" w:leader="dot" w:pos="9350"/>
            </w:tabs>
            <w:rPr>
              <w:rFonts w:cstheme="minorBidi"/>
              <w:noProof/>
              <w:kern w:val="2"/>
              <w:sz w:val="24"/>
              <w:szCs w:val="24"/>
            </w:rPr>
          </w:pPr>
          <w:hyperlink w:anchor="_Toc188405626" w:history="1">
            <w:r w:rsidRPr="008B34E8">
              <w:rPr>
                <w:rStyle w:val="Hyperlink"/>
                <w:noProof/>
              </w:rPr>
              <w:t>3.3 Existing Capacity Mix</w:t>
            </w:r>
            <w:r>
              <w:rPr>
                <w:noProof/>
                <w:webHidden/>
              </w:rPr>
              <w:tab/>
            </w:r>
            <w:r>
              <w:rPr>
                <w:noProof/>
                <w:webHidden/>
              </w:rPr>
              <w:fldChar w:fldCharType="begin"/>
            </w:r>
            <w:r>
              <w:rPr>
                <w:noProof/>
                <w:webHidden/>
              </w:rPr>
              <w:instrText xml:space="preserve"> PAGEREF _Toc188405626 \h </w:instrText>
            </w:r>
            <w:r>
              <w:rPr>
                <w:noProof/>
                <w:webHidden/>
              </w:rPr>
            </w:r>
            <w:r>
              <w:rPr>
                <w:noProof/>
                <w:webHidden/>
              </w:rPr>
              <w:fldChar w:fldCharType="separate"/>
            </w:r>
            <w:r>
              <w:rPr>
                <w:noProof/>
                <w:webHidden/>
              </w:rPr>
              <w:t>13</w:t>
            </w:r>
            <w:r>
              <w:rPr>
                <w:noProof/>
                <w:webHidden/>
              </w:rPr>
              <w:fldChar w:fldCharType="end"/>
            </w:r>
          </w:hyperlink>
        </w:p>
        <w:p w14:paraId="1727727B" w14:textId="575E39C8" w:rsidR="0021265E" w:rsidRDefault="0021265E">
          <w:pPr>
            <w:pStyle w:val="TOC3"/>
            <w:tabs>
              <w:tab w:val="right" w:leader="dot" w:pos="9350"/>
            </w:tabs>
            <w:rPr>
              <w:rFonts w:cstheme="minorBidi"/>
              <w:noProof/>
              <w:kern w:val="2"/>
              <w:sz w:val="24"/>
              <w:szCs w:val="24"/>
            </w:rPr>
          </w:pPr>
          <w:hyperlink w:anchor="_Toc188405627" w:history="1">
            <w:r w:rsidRPr="008B34E8">
              <w:rPr>
                <w:rStyle w:val="Hyperlink"/>
                <w:noProof/>
              </w:rPr>
              <w:t>3.3.1 Demand-Side Options</w:t>
            </w:r>
            <w:r>
              <w:rPr>
                <w:noProof/>
                <w:webHidden/>
              </w:rPr>
              <w:tab/>
            </w:r>
            <w:r>
              <w:rPr>
                <w:noProof/>
                <w:webHidden/>
              </w:rPr>
              <w:fldChar w:fldCharType="begin"/>
            </w:r>
            <w:r>
              <w:rPr>
                <w:noProof/>
                <w:webHidden/>
              </w:rPr>
              <w:instrText xml:space="preserve"> PAGEREF _Toc188405627 \h </w:instrText>
            </w:r>
            <w:r>
              <w:rPr>
                <w:noProof/>
                <w:webHidden/>
              </w:rPr>
            </w:r>
            <w:r>
              <w:rPr>
                <w:noProof/>
                <w:webHidden/>
              </w:rPr>
              <w:fldChar w:fldCharType="separate"/>
            </w:r>
            <w:r>
              <w:rPr>
                <w:noProof/>
                <w:webHidden/>
              </w:rPr>
              <w:t>14</w:t>
            </w:r>
            <w:r>
              <w:rPr>
                <w:noProof/>
                <w:webHidden/>
              </w:rPr>
              <w:fldChar w:fldCharType="end"/>
            </w:r>
          </w:hyperlink>
        </w:p>
        <w:p w14:paraId="5F5FA1D0" w14:textId="5F1442E6" w:rsidR="0021265E" w:rsidRDefault="0021265E">
          <w:pPr>
            <w:pStyle w:val="TOC2"/>
            <w:tabs>
              <w:tab w:val="right" w:leader="dot" w:pos="9350"/>
            </w:tabs>
            <w:rPr>
              <w:rFonts w:cstheme="minorBidi"/>
              <w:noProof/>
              <w:kern w:val="2"/>
              <w:sz w:val="24"/>
              <w:szCs w:val="24"/>
            </w:rPr>
          </w:pPr>
          <w:hyperlink w:anchor="_Toc188405628" w:history="1">
            <w:r w:rsidRPr="008B34E8">
              <w:rPr>
                <w:rStyle w:val="Hyperlink"/>
                <w:noProof/>
              </w:rPr>
              <w:t>3.4 Load Forecast</w:t>
            </w:r>
            <w:r>
              <w:rPr>
                <w:noProof/>
                <w:webHidden/>
              </w:rPr>
              <w:tab/>
            </w:r>
            <w:r>
              <w:rPr>
                <w:noProof/>
                <w:webHidden/>
              </w:rPr>
              <w:fldChar w:fldCharType="begin"/>
            </w:r>
            <w:r>
              <w:rPr>
                <w:noProof/>
                <w:webHidden/>
              </w:rPr>
              <w:instrText xml:space="preserve"> PAGEREF _Toc188405628 \h </w:instrText>
            </w:r>
            <w:r>
              <w:rPr>
                <w:noProof/>
                <w:webHidden/>
              </w:rPr>
            </w:r>
            <w:r>
              <w:rPr>
                <w:noProof/>
                <w:webHidden/>
              </w:rPr>
              <w:fldChar w:fldCharType="separate"/>
            </w:r>
            <w:r>
              <w:rPr>
                <w:noProof/>
                <w:webHidden/>
              </w:rPr>
              <w:t>15</w:t>
            </w:r>
            <w:r>
              <w:rPr>
                <w:noProof/>
                <w:webHidden/>
              </w:rPr>
              <w:fldChar w:fldCharType="end"/>
            </w:r>
          </w:hyperlink>
        </w:p>
        <w:p w14:paraId="72CF8D30" w14:textId="7D0FCCB0" w:rsidR="0021265E" w:rsidRDefault="0021265E">
          <w:pPr>
            <w:pStyle w:val="TOC2"/>
            <w:tabs>
              <w:tab w:val="right" w:leader="dot" w:pos="9350"/>
            </w:tabs>
            <w:rPr>
              <w:rFonts w:cstheme="minorBidi"/>
              <w:noProof/>
              <w:kern w:val="2"/>
              <w:sz w:val="24"/>
              <w:szCs w:val="24"/>
            </w:rPr>
          </w:pPr>
          <w:hyperlink w:anchor="_Toc188405629" w:history="1">
            <w:r w:rsidRPr="008B34E8">
              <w:rPr>
                <w:rStyle w:val="Hyperlink"/>
                <w:noProof/>
              </w:rPr>
              <w:t>3.5 Fuel Forecast</w:t>
            </w:r>
            <w:r>
              <w:rPr>
                <w:noProof/>
                <w:webHidden/>
              </w:rPr>
              <w:tab/>
            </w:r>
            <w:r>
              <w:rPr>
                <w:noProof/>
                <w:webHidden/>
              </w:rPr>
              <w:fldChar w:fldCharType="begin"/>
            </w:r>
            <w:r>
              <w:rPr>
                <w:noProof/>
                <w:webHidden/>
              </w:rPr>
              <w:instrText xml:space="preserve"> PAGEREF _Toc188405629 \h </w:instrText>
            </w:r>
            <w:r>
              <w:rPr>
                <w:noProof/>
                <w:webHidden/>
              </w:rPr>
            </w:r>
            <w:r>
              <w:rPr>
                <w:noProof/>
                <w:webHidden/>
              </w:rPr>
              <w:fldChar w:fldCharType="separate"/>
            </w:r>
            <w:r>
              <w:rPr>
                <w:noProof/>
                <w:webHidden/>
              </w:rPr>
              <w:t>15</w:t>
            </w:r>
            <w:r>
              <w:rPr>
                <w:noProof/>
                <w:webHidden/>
              </w:rPr>
              <w:fldChar w:fldCharType="end"/>
            </w:r>
          </w:hyperlink>
        </w:p>
        <w:p w14:paraId="1F686878" w14:textId="4703CA88" w:rsidR="0021265E" w:rsidRDefault="0021265E">
          <w:pPr>
            <w:pStyle w:val="TOC2"/>
            <w:tabs>
              <w:tab w:val="right" w:leader="dot" w:pos="9350"/>
            </w:tabs>
            <w:rPr>
              <w:rFonts w:cstheme="minorBidi"/>
              <w:noProof/>
              <w:kern w:val="2"/>
              <w:sz w:val="24"/>
              <w:szCs w:val="24"/>
            </w:rPr>
          </w:pPr>
          <w:hyperlink w:anchor="_Toc188405630" w:history="1">
            <w:r w:rsidRPr="008B34E8">
              <w:rPr>
                <w:rStyle w:val="Hyperlink"/>
                <w:noProof/>
              </w:rPr>
              <w:t>3.6 Technology Screening</w:t>
            </w:r>
            <w:r>
              <w:rPr>
                <w:noProof/>
                <w:webHidden/>
              </w:rPr>
              <w:tab/>
            </w:r>
            <w:r>
              <w:rPr>
                <w:noProof/>
                <w:webHidden/>
              </w:rPr>
              <w:fldChar w:fldCharType="begin"/>
            </w:r>
            <w:r>
              <w:rPr>
                <w:noProof/>
                <w:webHidden/>
              </w:rPr>
              <w:instrText xml:space="preserve"> PAGEREF _Toc188405630 \h </w:instrText>
            </w:r>
            <w:r>
              <w:rPr>
                <w:noProof/>
                <w:webHidden/>
              </w:rPr>
            </w:r>
            <w:r>
              <w:rPr>
                <w:noProof/>
                <w:webHidden/>
              </w:rPr>
              <w:fldChar w:fldCharType="separate"/>
            </w:r>
            <w:r>
              <w:rPr>
                <w:noProof/>
                <w:webHidden/>
              </w:rPr>
              <w:t>19</w:t>
            </w:r>
            <w:r>
              <w:rPr>
                <w:noProof/>
                <w:webHidden/>
              </w:rPr>
              <w:fldChar w:fldCharType="end"/>
            </w:r>
          </w:hyperlink>
        </w:p>
        <w:p w14:paraId="037C8B27" w14:textId="1AF3991D" w:rsidR="0021265E" w:rsidRDefault="0021265E">
          <w:pPr>
            <w:pStyle w:val="TOC3"/>
            <w:tabs>
              <w:tab w:val="right" w:leader="dot" w:pos="9350"/>
            </w:tabs>
            <w:rPr>
              <w:rFonts w:cstheme="minorBidi"/>
              <w:noProof/>
              <w:kern w:val="2"/>
              <w:sz w:val="24"/>
              <w:szCs w:val="24"/>
            </w:rPr>
          </w:pPr>
          <w:hyperlink w:anchor="_Toc188405631" w:history="1">
            <w:r w:rsidRPr="008B34E8">
              <w:rPr>
                <w:rStyle w:val="Hyperlink"/>
                <w:noProof/>
              </w:rPr>
              <w:t>3.6.1 Expansion Plan Candidate Resources</w:t>
            </w:r>
            <w:r>
              <w:rPr>
                <w:noProof/>
                <w:webHidden/>
              </w:rPr>
              <w:tab/>
            </w:r>
            <w:r>
              <w:rPr>
                <w:noProof/>
                <w:webHidden/>
              </w:rPr>
              <w:fldChar w:fldCharType="begin"/>
            </w:r>
            <w:r>
              <w:rPr>
                <w:noProof/>
                <w:webHidden/>
              </w:rPr>
              <w:instrText xml:space="preserve"> PAGEREF _Toc188405631 \h </w:instrText>
            </w:r>
            <w:r>
              <w:rPr>
                <w:noProof/>
                <w:webHidden/>
              </w:rPr>
            </w:r>
            <w:r>
              <w:rPr>
                <w:noProof/>
                <w:webHidden/>
              </w:rPr>
              <w:fldChar w:fldCharType="separate"/>
            </w:r>
            <w:r>
              <w:rPr>
                <w:noProof/>
                <w:webHidden/>
              </w:rPr>
              <w:t>20</w:t>
            </w:r>
            <w:r>
              <w:rPr>
                <w:noProof/>
                <w:webHidden/>
              </w:rPr>
              <w:fldChar w:fldCharType="end"/>
            </w:r>
          </w:hyperlink>
        </w:p>
        <w:p w14:paraId="5BF31C8D" w14:textId="58F526FB" w:rsidR="0021265E" w:rsidRDefault="0021265E">
          <w:pPr>
            <w:pStyle w:val="TOC3"/>
            <w:tabs>
              <w:tab w:val="right" w:leader="dot" w:pos="9350"/>
            </w:tabs>
            <w:rPr>
              <w:rFonts w:cstheme="minorBidi"/>
              <w:noProof/>
              <w:kern w:val="2"/>
              <w:sz w:val="24"/>
              <w:szCs w:val="24"/>
            </w:rPr>
          </w:pPr>
          <w:hyperlink w:anchor="_Toc188405632" w:history="1">
            <w:r w:rsidRPr="008B34E8">
              <w:rPr>
                <w:rStyle w:val="Hyperlink"/>
                <w:noProof/>
              </w:rPr>
              <w:t>3.6.2 Generic Unit Costs and Performance</w:t>
            </w:r>
            <w:r>
              <w:rPr>
                <w:noProof/>
                <w:webHidden/>
              </w:rPr>
              <w:tab/>
            </w:r>
            <w:r>
              <w:rPr>
                <w:noProof/>
                <w:webHidden/>
              </w:rPr>
              <w:fldChar w:fldCharType="begin"/>
            </w:r>
            <w:r>
              <w:rPr>
                <w:noProof/>
                <w:webHidden/>
              </w:rPr>
              <w:instrText xml:space="preserve"> PAGEREF _Toc188405632 \h </w:instrText>
            </w:r>
            <w:r>
              <w:rPr>
                <w:noProof/>
                <w:webHidden/>
              </w:rPr>
            </w:r>
            <w:r>
              <w:rPr>
                <w:noProof/>
                <w:webHidden/>
              </w:rPr>
              <w:fldChar w:fldCharType="separate"/>
            </w:r>
            <w:r>
              <w:rPr>
                <w:noProof/>
                <w:webHidden/>
              </w:rPr>
              <w:t>24</w:t>
            </w:r>
            <w:r>
              <w:rPr>
                <w:noProof/>
                <w:webHidden/>
              </w:rPr>
              <w:fldChar w:fldCharType="end"/>
            </w:r>
          </w:hyperlink>
        </w:p>
        <w:p w14:paraId="189B2EB5" w14:textId="0A12C636" w:rsidR="0021265E" w:rsidRDefault="0021265E">
          <w:pPr>
            <w:pStyle w:val="TOC3"/>
            <w:tabs>
              <w:tab w:val="right" w:leader="dot" w:pos="9350"/>
            </w:tabs>
            <w:rPr>
              <w:rFonts w:cstheme="minorBidi"/>
              <w:noProof/>
              <w:kern w:val="2"/>
              <w:sz w:val="24"/>
              <w:szCs w:val="24"/>
            </w:rPr>
          </w:pPr>
          <w:hyperlink w:anchor="_Toc188405633" w:history="1">
            <w:r w:rsidRPr="008B34E8">
              <w:rPr>
                <w:rStyle w:val="Hyperlink"/>
                <w:noProof/>
              </w:rPr>
              <w:t>3.6.3 Fuel Availability</w:t>
            </w:r>
            <w:r>
              <w:rPr>
                <w:noProof/>
                <w:webHidden/>
              </w:rPr>
              <w:tab/>
            </w:r>
            <w:r>
              <w:rPr>
                <w:noProof/>
                <w:webHidden/>
              </w:rPr>
              <w:fldChar w:fldCharType="begin"/>
            </w:r>
            <w:r>
              <w:rPr>
                <w:noProof/>
                <w:webHidden/>
              </w:rPr>
              <w:instrText xml:space="preserve"> PAGEREF _Toc188405633 \h </w:instrText>
            </w:r>
            <w:r>
              <w:rPr>
                <w:noProof/>
                <w:webHidden/>
              </w:rPr>
            </w:r>
            <w:r>
              <w:rPr>
                <w:noProof/>
                <w:webHidden/>
              </w:rPr>
              <w:fldChar w:fldCharType="separate"/>
            </w:r>
            <w:r>
              <w:rPr>
                <w:noProof/>
                <w:webHidden/>
              </w:rPr>
              <w:t>27</w:t>
            </w:r>
            <w:r>
              <w:rPr>
                <w:noProof/>
                <w:webHidden/>
              </w:rPr>
              <w:fldChar w:fldCharType="end"/>
            </w:r>
          </w:hyperlink>
        </w:p>
        <w:p w14:paraId="145B954C" w14:textId="403A43CB" w:rsidR="0021265E" w:rsidRDefault="0021265E">
          <w:pPr>
            <w:pStyle w:val="TOC1"/>
            <w:tabs>
              <w:tab w:val="right" w:leader="dot" w:pos="9350"/>
            </w:tabs>
            <w:rPr>
              <w:rFonts w:cstheme="minorBidi"/>
              <w:noProof/>
              <w:kern w:val="2"/>
              <w:sz w:val="24"/>
              <w:szCs w:val="24"/>
            </w:rPr>
          </w:pPr>
          <w:hyperlink w:anchor="_Toc188405634" w:history="1">
            <w:r w:rsidRPr="008B34E8">
              <w:rPr>
                <w:rStyle w:val="Hyperlink"/>
                <w:noProof/>
              </w:rPr>
              <w:t>4 Base Case Generic Expansion Plan</w:t>
            </w:r>
            <w:r>
              <w:rPr>
                <w:noProof/>
                <w:webHidden/>
              </w:rPr>
              <w:tab/>
            </w:r>
            <w:r>
              <w:rPr>
                <w:noProof/>
                <w:webHidden/>
              </w:rPr>
              <w:fldChar w:fldCharType="begin"/>
            </w:r>
            <w:r>
              <w:rPr>
                <w:noProof/>
                <w:webHidden/>
              </w:rPr>
              <w:instrText xml:space="preserve"> PAGEREF _Toc188405634 \h </w:instrText>
            </w:r>
            <w:r>
              <w:rPr>
                <w:noProof/>
                <w:webHidden/>
              </w:rPr>
            </w:r>
            <w:r>
              <w:rPr>
                <w:noProof/>
                <w:webHidden/>
              </w:rPr>
              <w:fldChar w:fldCharType="separate"/>
            </w:r>
            <w:r>
              <w:rPr>
                <w:noProof/>
                <w:webHidden/>
              </w:rPr>
              <w:t>28</w:t>
            </w:r>
            <w:r>
              <w:rPr>
                <w:noProof/>
                <w:webHidden/>
              </w:rPr>
              <w:fldChar w:fldCharType="end"/>
            </w:r>
          </w:hyperlink>
        </w:p>
        <w:p w14:paraId="187B3949" w14:textId="789F3EFC" w:rsidR="0021265E" w:rsidRDefault="0021265E">
          <w:pPr>
            <w:pStyle w:val="TOC1"/>
            <w:tabs>
              <w:tab w:val="right" w:leader="dot" w:pos="9350"/>
            </w:tabs>
            <w:rPr>
              <w:rFonts w:cstheme="minorBidi"/>
              <w:noProof/>
              <w:kern w:val="2"/>
              <w:sz w:val="24"/>
              <w:szCs w:val="24"/>
            </w:rPr>
          </w:pPr>
          <w:hyperlink w:anchor="_Toc188405635" w:history="1">
            <w:r w:rsidRPr="008B34E8">
              <w:rPr>
                <w:rStyle w:val="Hyperlink"/>
                <w:noProof/>
              </w:rPr>
              <w:t>5 Scenario Analysis Results</w:t>
            </w:r>
            <w:r>
              <w:rPr>
                <w:noProof/>
                <w:webHidden/>
              </w:rPr>
              <w:tab/>
            </w:r>
            <w:r>
              <w:rPr>
                <w:noProof/>
                <w:webHidden/>
              </w:rPr>
              <w:fldChar w:fldCharType="begin"/>
            </w:r>
            <w:r>
              <w:rPr>
                <w:noProof/>
                <w:webHidden/>
              </w:rPr>
              <w:instrText xml:space="preserve"> PAGEREF _Toc188405635 \h </w:instrText>
            </w:r>
            <w:r>
              <w:rPr>
                <w:noProof/>
                <w:webHidden/>
              </w:rPr>
            </w:r>
            <w:r>
              <w:rPr>
                <w:noProof/>
                <w:webHidden/>
              </w:rPr>
              <w:fldChar w:fldCharType="separate"/>
            </w:r>
            <w:r>
              <w:rPr>
                <w:noProof/>
                <w:webHidden/>
              </w:rPr>
              <w:t>29</w:t>
            </w:r>
            <w:r>
              <w:rPr>
                <w:noProof/>
                <w:webHidden/>
              </w:rPr>
              <w:fldChar w:fldCharType="end"/>
            </w:r>
          </w:hyperlink>
        </w:p>
        <w:p w14:paraId="4A517398" w14:textId="3174AB0A" w:rsidR="0021265E" w:rsidRDefault="0021265E">
          <w:pPr>
            <w:pStyle w:val="TOC2"/>
            <w:tabs>
              <w:tab w:val="right" w:leader="dot" w:pos="9350"/>
            </w:tabs>
            <w:rPr>
              <w:rFonts w:cstheme="minorBidi"/>
              <w:noProof/>
              <w:kern w:val="2"/>
              <w:sz w:val="24"/>
              <w:szCs w:val="24"/>
            </w:rPr>
          </w:pPr>
          <w:hyperlink w:anchor="_Toc188405636" w:history="1">
            <w:r w:rsidRPr="008B34E8">
              <w:rPr>
                <w:rStyle w:val="Hyperlink"/>
                <w:noProof/>
              </w:rPr>
              <w:t>5.1 Planning Scenario Cases</w:t>
            </w:r>
            <w:r>
              <w:rPr>
                <w:noProof/>
                <w:webHidden/>
              </w:rPr>
              <w:tab/>
            </w:r>
            <w:r>
              <w:rPr>
                <w:noProof/>
                <w:webHidden/>
              </w:rPr>
              <w:fldChar w:fldCharType="begin"/>
            </w:r>
            <w:r>
              <w:rPr>
                <w:noProof/>
                <w:webHidden/>
              </w:rPr>
              <w:instrText xml:space="preserve"> PAGEREF _Toc188405636 \h </w:instrText>
            </w:r>
            <w:r>
              <w:rPr>
                <w:noProof/>
                <w:webHidden/>
              </w:rPr>
            </w:r>
            <w:r>
              <w:rPr>
                <w:noProof/>
                <w:webHidden/>
              </w:rPr>
              <w:fldChar w:fldCharType="separate"/>
            </w:r>
            <w:r>
              <w:rPr>
                <w:noProof/>
                <w:webHidden/>
              </w:rPr>
              <w:t>29</w:t>
            </w:r>
            <w:r>
              <w:rPr>
                <w:noProof/>
                <w:webHidden/>
              </w:rPr>
              <w:fldChar w:fldCharType="end"/>
            </w:r>
          </w:hyperlink>
        </w:p>
        <w:p w14:paraId="31CC7266" w14:textId="7F8E6D38" w:rsidR="0021265E" w:rsidRDefault="0021265E">
          <w:pPr>
            <w:pStyle w:val="TOC2"/>
            <w:tabs>
              <w:tab w:val="right" w:leader="dot" w:pos="9350"/>
            </w:tabs>
            <w:rPr>
              <w:rFonts w:cstheme="minorBidi"/>
              <w:noProof/>
              <w:kern w:val="2"/>
              <w:sz w:val="24"/>
              <w:szCs w:val="24"/>
            </w:rPr>
          </w:pPr>
          <w:hyperlink w:anchor="_Toc188405637" w:history="1">
            <w:r w:rsidRPr="008B34E8">
              <w:rPr>
                <w:rStyle w:val="Hyperlink"/>
                <w:noProof/>
              </w:rPr>
              <w:t>5.2 Results Summary</w:t>
            </w:r>
            <w:r>
              <w:rPr>
                <w:noProof/>
                <w:webHidden/>
              </w:rPr>
              <w:tab/>
            </w:r>
            <w:r>
              <w:rPr>
                <w:noProof/>
                <w:webHidden/>
              </w:rPr>
              <w:fldChar w:fldCharType="begin"/>
            </w:r>
            <w:r>
              <w:rPr>
                <w:noProof/>
                <w:webHidden/>
              </w:rPr>
              <w:instrText xml:space="preserve"> PAGEREF _Toc188405637 \h </w:instrText>
            </w:r>
            <w:r>
              <w:rPr>
                <w:noProof/>
                <w:webHidden/>
              </w:rPr>
            </w:r>
            <w:r>
              <w:rPr>
                <w:noProof/>
                <w:webHidden/>
              </w:rPr>
              <w:fldChar w:fldCharType="separate"/>
            </w:r>
            <w:r>
              <w:rPr>
                <w:noProof/>
                <w:webHidden/>
              </w:rPr>
              <w:t>30</w:t>
            </w:r>
            <w:r>
              <w:rPr>
                <w:noProof/>
                <w:webHidden/>
              </w:rPr>
              <w:fldChar w:fldCharType="end"/>
            </w:r>
          </w:hyperlink>
        </w:p>
        <w:p w14:paraId="622BBF22" w14:textId="0B4D8747" w:rsidR="00224284" w:rsidRDefault="008B2794" w:rsidP="009D1720">
          <w:pPr>
            <w:rPr>
              <w:rFonts w:asciiTheme="majorHAnsi" w:eastAsiaTheme="majorEastAsia" w:hAnsiTheme="majorHAnsi" w:cstheme="majorBidi"/>
              <w:color w:val="0F4761" w:themeColor="accent1" w:themeShade="BF"/>
              <w:sz w:val="40"/>
              <w:szCs w:val="40"/>
            </w:rPr>
          </w:pPr>
          <w:r>
            <w:rPr>
              <w:noProof/>
            </w:rPr>
            <w:fldChar w:fldCharType="end"/>
          </w:r>
        </w:p>
      </w:sdtContent>
    </w:sdt>
    <w:p w14:paraId="0FA3733E" w14:textId="77777777" w:rsidR="0042091B" w:rsidRDefault="0042091B" w:rsidP="00D86E63">
      <w:pPr>
        <w:pStyle w:val="Heading1"/>
        <w:sectPr w:rsidR="0042091B" w:rsidSect="0042091B">
          <w:headerReference w:type="default" r:id="rId13"/>
          <w:footerReference w:type="default" r:id="rId14"/>
          <w:footerReference w:type="first" r:id="rId15"/>
          <w:pgSz w:w="12240" w:h="15840"/>
          <w:pgMar w:top="1440" w:right="1440" w:bottom="1440" w:left="1440" w:header="720" w:footer="720" w:gutter="0"/>
          <w:pgNumType w:fmt="lowerRoman" w:start="1"/>
          <w:cols w:space="720"/>
          <w:titlePg/>
          <w:docGrid w:linePitch="360"/>
        </w:sectPr>
      </w:pPr>
    </w:p>
    <w:p w14:paraId="4DE2DBA6" w14:textId="0E5EB3FE" w:rsidR="000B7EDB" w:rsidRDefault="00712A04" w:rsidP="00D86E63">
      <w:pPr>
        <w:pStyle w:val="Heading1"/>
      </w:pPr>
      <w:bookmarkStart w:id="0" w:name="_Toc188405615"/>
      <w:r>
        <w:lastRenderedPageBreak/>
        <w:t xml:space="preserve">1 </w:t>
      </w:r>
      <w:r w:rsidR="000B7EDB">
        <w:t>Summary</w:t>
      </w:r>
      <w:bookmarkEnd w:id="0"/>
    </w:p>
    <w:p w14:paraId="642EB55B" w14:textId="64BEF005" w:rsidR="000B7EDB" w:rsidRDefault="000B7EDB" w:rsidP="00D86E63">
      <w:r>
        <w:t>The primary objecti</w:t>
      </w:r>
      <w:r w:rsidR="00E60180">
        <w:t>ve</w:t>
      </w:r>
      <w:r>
        <w:t xml:space="preserve"> of the Resource Mix Study </w:t>
      </w:r>
      <w:r w:rsidR="00941D2B">
        <w:t>(</w:t>
      </w:r>
      <w:r w:rsidR="003617D4">
        <w:t xml:space="preserve">“Mix Study”) </w:t>
      </w:r>
      <w:r>
        <w:t xml:space="preserve">is to provide information regarding the development of an optimal least-cost resource mix or generic expansion plan. The generic expansion plan was selected to minimize </w:t>
      </w:r>
      <w:r w:rsidR="00226232">
        <w:t>revenue requirements while complying with reliability criteria</w:t>
      </w:r>
      <w:r w:rsidR="00116497">
        <w:t xml:space="preserve"> and</w:t>
      </w:r>
      <w:r w:rsidR="00226232">
        <w:t xml:space="preserve"> environmental laws and regulations, considering risk and flexibility. This study provides an informative roadmap for long-term decisions. The scenarios contained in this Mix Study do not represent commitments but instead </w:t>
      </w:r>
      <w:r w:rsidR="00AD4058">
        <w:t xml:space="preserve">provide </w:t>
      </w:r>
      <w:r w:rsidR="00226232">
        <w:t>generic expansion plan</w:t>
      </w:r>
      <w:r w:rsidR="009E3250">
        <w:t>s</w:t>
      </w:r>
      <w:r w:rsidR="00226232">
        <w:t xml:space="preserve"> used for planning and to support analyses. Under the framework established in the state of Georgia, when a capacity need is identified through an Integrated Resource Plan (“IRP”), Georgia Power Company (“Georgia Power” or the “Company”) will meet such identified need in accordance with the Georgia Public Service Commission (“Commission”) rules and will utilize Georgia Power specific information, as appropriate. </w:t>
      </w:r>
    </w:p>
    <w:p w14:paraId="39A9E380" w14:textId="76169205" w:rsidR="00351CDB" w:rsidRPr="00A2152E" w:rsidRDefault="00226232" w:rsidP="00A2152E">
      <w:pPr>
        <w:rPr>
          <w:sz w:val="24"/>
          <w:szCs w:val="24"/>
        </w:rPr>
      </w:pPr>
      <w:r>
        <w:t xml:space="preserve">This report summarizes the results of the 2025 IRP Resource Mix Study. The recommendations of the study provide input to an optimum resource addition schedule for the retail operating companies. The resource addition schedule is based on maintaining minimum winter and summer reserve margins and minimizing the total operating and capital costs over the planning horizon. While both summer and winter seasons are reviewed, future resource addition schedules </w:t>
      </w:r>
      <w:r w:rsidR="00116497">
        <w:t>are</w:t>
      </w:r>
      <w:r>
        <w:t xml:space="preserve"> based on the additions needed to meet the higher of the summer or winter capacity need</w:t>
      </w:r>
      <w:r w:rsidR="00725E02">
        <w:t xml:space="preserve"> for the</w:t>
      </w:r>
      <w:r w:rsidR="00725E02" w:rsidRPr="00725E02">
        <w:t xml:space="preserve"> </w:t>
      </w:r>
      <w:r w:rsidR="00A133A4">
        <w:t xml:space="preserve">retail operating companies that are part of the </w:t>
      </w:r>
      <w:r w:rsidR="00725E02">
        <w:t>Southern Company System (“System”)</w:t>
      </w:r>
      <w:r>
        <w:t>. For th</w:t>
      </w:r>
      <w:r w:rsidR="00A133A4">
        <w:t>e</w:t>
      </w:r>
      <w:r>
        <w:t xml:space="preserve"> </w:t>
      </w:r>
      <w:r w:rsidR="000373C0">
        <w:t xml:space="preserve">Budget </w:t>
      </w:r>
      <w:r>
        <w:t xml:space="preserve">2025 </w:t>
      </w:r>
      <w:r w:rsidR="003A09B4">
        <w:t xml:space="preserve">(“B2025”) </w:t>
      </w:r>
      <w:r>
        <w:t xml:space="preserve">resource plan, the </w:t>
      </w:r>
      <w:r w:rsidR="254E10C9">
        <w:t xml:space="preserve">System </w:t>
      </w:r>
      <w:r>
        <w:t xml:space="preserve">winter capacity need occurred earlier and was higher than the summer capacity </w:t>
      </w:r>
      <w:r w:rsidR="005D0D1A">
        <w:t>needs</w:t>
      </w:r>
      <w:r>
        <w:t xml:space="preserve"> for the entire planning horizon. Therefore, the </w:t>
      </w:r>
      <w:r w:rsidR="00091665">
        <w:t>S</w:t>
      </w:r>
      <w:r>
        <w:t>ystem expansion plan includes additions to address the forecasted winter capacity needs. An overview of the expansion plan optimization process is shown in Figure 1 below.</w:t>
      </w:r>
    </w:p>
    <w:p w14:paraId="62EA97D9" w14:textId="77777777" w:rsidR="000047DA" w:rsidRDefault="00351CDB" w:rsidP="00A65265">
      <w:pPr>
        <w:pStyle w:val="Caption"/>
      </w:pPr>
      <w:r w:rsidRPr="00AA3A94">
        <w:lastRenderedPageBreak/>
        <w:t xml:space="preserve">Figure </w:t>
      </w:r>
      <w:r w:rsidR="00C877B3">
        <w:fldChar w:fldCharType="begin"/>
      </w:r>
      <w:r w:rsidR="00C877B3">
        <w:instrText xml:space="preserve"> SEQ Figure \* ARABIC </w:instrText>
      </w:r>
      <w:r w:rsidR="00C877B3">
        <w:fldChar w:fldCharType="separate"/>
      </w:r>
      <w:r w:rsidR="00C877B3" w:rsidRPr="00AA3A94">
        <w:rPr>
          <w:noProof/>
        </w:rPr>
        <w:t>1</w:t>
      </w:r>
      <w:r w:rsidR="00C877B3">
        <w:rPr>
          <w:noProof/>
        </w:rPr>
        <w:fldChar w:fldCharType="end"/>
      </w:r>
      <w:r w:rsidRPr="00AA3A94">
        <w:t>: Expansion Plan Optimization Process Overview</w:t>
      </w:r>
    </w:p>
    <w:p w14:paraId="64ACF701" w14:textId="3770CE06" w:rsidR="00226232" w:rsidRPr="00AA3A94" w:rsidRDefault="00A2152E" w:rsidP="00A65265">
      <w:pPr>
        <w:pStyle w:val="Caption"/>
      </w:pPr>
      <w:r>
        <w:rPr>
          <w:noProof/>
        </w:rPr>
        <w:drawing>
          <wp:inline distT="0" distB="0" distL="0" distR="0" wp14:anchorId="744B0657" wp14:editId="2B7693EB">
            <wp:extent cx="5943600" cy="2972793"/>
            <wp:effectExtent l="0" t="0" r="0" b="0"/>
            <wp:docPr id="3517637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2972793"/>
                    </a:xfrm>
                    <a:prstGeom prst="rect">
                      <a:avLst/>
                    </a:prstGeom>
                    <a:noFill/>
                  </pic:spPr>
                </pic:pic>
              </a:graphicData>
            </a:graphic>
          </wp:inline>
        </w:drawing>
      </w:r>
    </w:p>
    <w:p w14:paraId="471EA785" w14:textId="77777777" w:rsidR="00351CDB" w:rsidRDefault="00351CDB" w:rsidP="00D86E63"/>
    <w:p w14:paraId="143BC20E" w14:textId="10AAE834" w:rsidR="00BF3324" w:rsidRDefault="00B07BCC" w:rsidP="005D0D1A">
      <w:r w:rsidRPr="00B07BCC">
        <w:t>The expansion planning analysis maintains the Company’s Target Reserve Margins while considering a wide range of possible future scenarios. The results of the expansion planning analysis ensure the Company is evaluating a range of economic</w:t>
      </w:r>
      <w:r w:rsidR="009D5F9B">
        <w:t xml:space="preserve"> and policy</w:t>
      </w:r>
      <w:r w:rsidRPr="00B07BCC">
        <w:t xml:space="preserve"> conditions that may differ materially from current conditions. This process ensures the Company is making decisions with the best available information, while appropriately considering the risk associated with long-term resource planning decisions in the best interest of customers. The outcome of this </w:t>
      </w:r>
      <w:r w:rsidR="009D5F9B">
        <w:t>process</w:t>
      </w:r>
      <w:r w:rsidR="009D5F9B" w:rsidRPr="00B07BCC">
        <w:t xml:space="preserve"> </w:t>
      </w:r>
      <w:r w:rsidRPr="00B07BCC">
        <w:t>is a cost-effective mix of demand-side and supply-side resources that inform the Company’s long-term avoided costs.</w:t>
      </w:r>
      <w:r w:rsidR="0075058B">
        <w:t xml:space="preserve"> </w:t>
      </w:r>
    </w:p>
    <w:p w14:paraId="481C4F8E" w14:textId="10D7B781" w:rsidR="00D840E2" w:rsidRDefault="00996587" w:rsidP="005D0D1A">
      <w:r>
        <w:t>Figure 2 shows the</w:t>
      </w:r>
      <w:r w:rsidR="007F4A0A">
        <w:t xml:space="preserve"> expansion plans</w:t>
      </w:r>
      <w:r w:rsidR="00C94278" w:rsidRPr="00C94278">
        <w:t xml:space="preserve"> </w:t>
      </w:r>
      <w:r w:rsidR="00C94278">
        <w:t>over the 20-year planning period (2025-2044)</w:t>
      </w:r>
      <w:r w:rsidR="007F4A0A">
        <w:t xml:space="preserve"> in cumulative megawatts (“MW”). </w:t>
      </w:r>
      <w:r w:rsidR="004933CD">
        <w:t>Combustion</w:t>
      </w:r>
      <w:r w:rsidR="005D4DAA">
        <w:t xml:space="preserve"> t</w:t>
      </w:r>
      <w:r w:rsidR="004933CD">
        <w:t>urbine (“</w:t>
      </w:r>
      <w:r w:rsidR="007F4A0A">
        <w:t>CT</w:t>
      </w:r>
      <w:r w:rsidR="004933CD">
        <w:t>”)</w:t>
      </w:r>
      <w:r w:rsidR="007F4A0A">
        <w:t xml:space="preserve"> and </w:t>
      </w:r>
      <w:r w:rsidR="004933CD">
        <w:t>combined cycle (“</w:t>
      </w:r>
      <w:r w:rsidR="007F4A0A">
        <w:t>CC</w:t>
      </w:r>
      <w:r w:rsidR="004933CD">
        <w:t>”)</w:t>
      </w:r>
      <w:r w:rsidR="007F4A0A">
        <w:t xml:space="preserve"> resources, in addition to battery storage, are </w:t>
      </w:r>
      <w:r w:rsidR="008A4C6C">
        <w:t>selected in</w:t>
      </w:r>
      <w:r w:rsidR="007F4A0A">
        <w:t xml:space="preserve"> all scenarios to help fulfill the capacity need. Nuclear </w:t>
      </w:r>
      <w:r w:rsidR="000474AE">
        <w:t xml:space="preserve">resources </w:t>
      </w:r>
      <w:r w:rsidR="008A4C6C">
        <w:t>are selected</w:t>
      </w:r>
      <w:r w:rsidR="007F4A0A">
        <w:t xml:space="preserve"> in all scenarios that include </w:t>
      </w:r>
      <w:r w:rsidR="000375BD">
        <w:t>greenhouse gas</w:t>
      </w:r>
      <w:r w:rsidR="007F4A0A">
        <w:t xml:space="preserve"> </w:t>
      </w:r>
      <w:r w:rsidR="000375BD">
        <w:t>(“</w:t>
      </w:r>
      <w:r w:rsidR="007F4A0A">
        <w:t>GHG</w:t>
      </w:r>
      <w:r w:rsidR="000375BD">
        <w:t>”)</w:t>
      </w:r>
      <w:r w:rsidR="007F4A0A">
        <w:t xml:space="preserve"> pressure, including all scenarios</w:t>
      </w:r>
      <w:r w:rsidR="002F4D69">
        <w:t xml:space="preserve"> that include the recently finalized </w:t>
      </w:r>
      <w:r w:rsidR="005C0077">
        <w:t>Environmental Protection Agency (“</w:t>
      </w:r>
      <w:r w:rsidR="002F4D69">
        <w:t>EPA</w:t>
      </w:r>
      <w:r w:rsidR="005C0077">
        <w:t>”)</w:t>
      </w:r>
      <w:r w:rsidR="002F4D69">
        <w:t xml:space="preserve"> rules under sections 111(b) and 111(d) of the Clean Air Act (</w:t>
      </w:r>
      <w:r w:rsidR="00EF437F">
        <w:t>“111 GHG Rules”)</w:t>
      </w:r>
      <w:r w:rsidR="007F4A0A">
        <w:t>. All scenarios show substantial additions of solar and wind resources to be cost</w:t>
      </w:r>
      <w:r w:rsidR="000F685F">
        <w:t>-</w:t>
      </w:r>
      <w:r w:rsidR="007F4A0A">
        <w:t xml:space="preserve">effective through the planning period. </w:t>
      </w:r>
    </w:p>
    <w:p w14:paraId="240EEF50" w14:textId="5F9F7766" w:rsidR="001E7323" w:rsidRDefault="00D840E2" w:rsidP="00A65265">
      <w:pPr>
        <w:pStyle w:val="Caption"/>
      </w:pPr>
      <w:r w:rsidRPr="001E5D8F">
        <w:lastRenderedPageBreak/>
        <w:t xml:space="preserve">Figure </w:t>
      </w:r>
      <w:r w:rsidR="00C877B3">
        <w:fldChar w:fldCharType="begin"/>
      </w:r>
      <w:r w:rsidR="00C877B3">
        <w:instrText xml:space="preserve"> SEQ Figure \* ARABIC </w:instrText>
      </w:r>
      <w:r w:rsidR="00C877B3">
        <w:fldChar w:fldCharType="separate"/>
      </w:r>
      <w:r w:rsidR="00C877B3" w:rsidRPr="001E5D8F">
        <w:t>2</w:t>
      </w:r>
      <w:r w:rsidR="00C877B3">
        <w:fldChar w:fldCharType="end"/>
      </w:r>
      <w:r w:rsidRPr="001E5D8F">
        <w:t xml:space="preserve">: </w:t>
      </w:r>
      <w:r w:rsidR="002B029A" w:rsidRPr="001E5D8F">
        <w:t xml:space="preserve">B2025 </w:t>
      </w:r>
      <w:r w:rsidR="001014C1" w:rsidRPr="001E5D8F">
        <w:t xml:space="preserve">Generic </w:t>
      </w:r>
      <w:r w:rsidR="002B029A" w:rsidRPr="001E5D8F">
        <w:t>Expansion Plan</w:t>
      </w:r>
      <w:r w:rsidR="001014C1" w:rsidRPr="001E5D8F">
        <w:t xml:space="preserve"> Result</w:t>
      </w:r>
      <w:r w:rsidR="002B029A" w:rsidRPr="001E5D8F">
        <w:t>s – Cumulative MW</w:t>
      </w:r>
      <w:r w:rsidR="006F369A" w:rsidRPr="001E5D8F">
        <w:t xml:space="preserve"> </w:t>
      </w:r>
      <w:r w:rsidR="001014C1" w:rsidRPr="001E5D8F">
        <w:t>(2025-</w:t>
      </w:r>
      <w:r w:rsidR="002B029A" w:rsidRPr="001E5D8F">
        <w:t>2044</w:t>
      </w:r>
      <w:r w:rsidR="00DC293F" w:rsidRPr="001E5D8F">
        <w:t>)</w:t>
      </w:r>
      <w:r w:rsidR="00A754BF" w:rsidRPr="001E5D8F">
        <w:rPr>
          <w:noProof/>
        </w:rPr>
        <w:t xml:space="preserve"> </w:t>
      </w:r>
      <w:r w:rsidR="00A754BF" w:rsidRPr="001E5D8F">
        <w:rPr>
          <w:noProof/>
        </w:rPr>
        <w:drawing>
          <wp:inline distT="0" distB="0" distL="0" distR="0" wp14:anchorId="3A768CBA" wp14:editId="2E21E749">
            <wp:extent cx="5943600" cy="2945833"/>
            <wp:effectExtent l="0" t="0" r="0" b="0"/>
            <wp:docPr id="16211711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3600" cy="2945833"/>
                    </a:xfrm>
                    <a:prstGeom prst="rect">
                      <a:avLst/>
                    </a:prstGeom>
                    <a:noFill/>
                    <a:ln w="28575">
                      <a:noFill/>
                    </a:ln>
                  </pic:spPr>
                </pic:pic>
              </a:graphicData>
            </a:graphic>
          </wp:inline>
        </w:drawing>
      </w:r>
    </w:p>
    <w:p w14:paraId="545849C6" w14:textId="66B44812" w:rsidR="00193369" w:rsidRDefault="00193369" w:rsidP="00D86E63">
      <w:r w:rsidRPr="001E527A">
        <w:t>These generic expansion plan</w:t>
      </w:r>
      <w:r>
        <w:t>s</w:t>
      </w:r>
      <w:r w:rsidRPr="001E527A">
        <w:t xml:space="preserve"> are combined with the existing fleet of resources as inputs into more detailed production cost modeling to produce hourly </w:t>
      </w:r>
      <w:r>
        <w:t>forecasted marginal</w:t>
      </w:r>
      <w:r w:rsidRPr="001E527A">
        <w:t xml:space="preserve"> energy costs for each scenario. </w:t>
      </w:r>
      <w:r w:rsidR="009E29A3">
        <w:t>Marginal energy costs are used for</w:t>
      </w:r>
      <w:r w:rsidR="006A1F2E">
        <w:t xml:space="preserve"> a range of purposes, including</w:t>
      </w:r>
      <w:r w:rsidR="009E29A3">
        <w:t xml:space="preserve"> asset </w:t>
      </w:r>
      <w:r w:rsidR="005F7F8C">
        <w:t xml:space="preserve">and </w:t>
      </w:r>
      <w:r w:rsidR="002E55D9">
        <w:t>R</w:t>
      </w:r>
      <w:r w:rsidR="00E47426">
        <w:t xml:space="preserve">equest for </w:t>
      </w:r>
      <w:r w:rsidR="002E55D9">
        <w:t>P</w:t>
      </w:r>
      <w:r w:rsidR="00E47426">
        <w:t>roposal (“RFP”)</w:t>
      </w:r>
      <w:r w:rsidR="002E55D9">
        <w:t xml:space="preserve"> </w:t>
      </w:r>
      <w:r w:rsidR="005F7F8C">
        <w:t>evaluation.</w:t>
      </w:r>
    </w:p>
    <w:p w14:paraId="4848AA0F" w14:textId="574F47BD" w:rsidR="001E7323" w:rsidRDefault="00712A04" w:rsidP="00D86E63">
      <w:pPr>
        <w:pStyle w:val="Heading1"/>
      </w:pPr>
      <w:bookmarkStart w:id="1" w:name="_Toc188405616"/>
      <w:r>
        <w:t xml:space="preserve">2 </w:t>
      </w:r>
      <w:r w:rsidR="00EA2A9F">
        <w:t>Scenarios</w:t>
      </w:r>
      <w:bookmarkEnd w:id="1"/>
    </w:p>
    <w:p w14:paraId="173E3183" w14:textId="43B71F14" w:rsidR="00F43815" w:rsidRDefault="00F43815" w:rsidP="00D86E63">
      <w:r w:rsidRPr="003500B9">
        <w:t>Many factors affecting</w:t>
      </w:r>
      <w:r>
        <w:t xml:space="preserve"> resource</w:t>
      </w:r>
      <w:r w:rsidRPr="003500B9">
        <w:t xml:space="preserve"> planning </w:t>
      </w:r>
      <w:r>
        <w:t>involve future uncertainties</w:t>
      </w:r>
      <w:r w:rsidRPr="003500B9">
        <w:t xml:space="preserve">. Thus, the </w:t>
      </w:r>
      <w:r>
        <w:t>C</w:t>
      </w:r>
      <w:r w:rsidRPr="003500B9">
        <w:t xml:space="preserve">ompany creates scenarios to help understand these </w:t>
      </w:r>
      <w:r>
        <w:t>future</w:t>
      </w:r>
      <w:r w:rsidRPr="003500B9">
        <w:t xml:space="preserve"> uncertainties, which</w:t>
      </w:r>
      <w:r>
        <w:t xml:space="preserve"> </w:t>
      </w:r>
      <w:r w:rsidRPr="003500B9">
        <w:t>allows</w:t>
      </w:r>
      <w:r>
        <w:t xml:space="preserve"> </w:t>
      </w:r>
      <w:r w:rsidRPr="003500B9">
        <w:t>it</w:t>
      </w:r>
      <w:r>
        <w:t xml:space="preserve"> to make appropriate planning decisions</w:t>
      </w:r>
      <w:r w:rsidRPr="003500B9">
        <w:t xml:space="preserve">. Key uncertainties affecting planning include </w:t>
      </w:r>
      <w:r>
        <w:t xml:space="preserve">(1) </w:t>
      </w:r>
      <w:r w:rsidRPr="003500B9">
        <w:t xml:space="preserve">future pressure on </w:t>
      </w:r>
      <w:r w:rsidR="001032D6">
        <w:t>carbon dioxide (“</w:t>
      </w:r>
      <w:r>
        <w:t>CO</w:t>
      </w:r>
      <w:r w:rsidRPr="00AE4AED">
        <w:rPr>
          <w:vertAlign w:val="subscript"/>
        </w:rPr>
        <w:t>2</w:t>
      </w:r>
      <w:r w:rsidR="001032D6" w:rsidRPr="00235DC2">
        <w:t>”)</w:t>
      </w:r>
      <w:r>
        <w:t xml:space="preserve"> and other greenhouse gas</w:t>
      </w:r>
      <w:r w:rsidRPr="003500B9">
        <w:t xml:space="preserve"> </w:t>
      </w:r>
      <w:r>
        <w:t>(“GHG”)</w:t>
      </w:r>
      <w:r w:rsidRPr="003500B9">
        <w:t xml:space="preserve"> emissions, </w:t>
      </w:r>
      <w:r>
        <w:t xml:space="preserve">(2) </w:t>
      </w:r>
      <w:r w:rsidRPr="00A55B44">
        <w:t>cost and performance of future generating technologies,</w:t>
      </w:r>
      <w:r>
        <w:t xml:space="preserve"> (3) </w:t>
      </w:r>
      <w:r w:rsidRPr="003500B9">
        <w:t xml:space="preserve">future load growth, and </w:t>
      </w:r>
      <w:r>
        <w:t xml:space="preserve">(4) </w:t>
      </w:r>
      <w:r w:rsidRPr="00A55B44">
        <w:t xml:space="preserve">future fuel prices. To construct its </w:t>
      </w:r>
      <w:r>
        <w:t xml:space="preserve">planning </w:t>
      </w:r>
      <w:r w:rsidRPr="00A55B44">
        <w:t xml:space="preserve">scenarios, the </w:t>
      </w:r>
      <w:r>
        <w:t>C</w:t>
      </w:r>
      <w:r w:rsidRPr="003500B9">
        <w:t>ompany identifies different</w:t>
      </w:r>
      <w:r>
        <w:t xml:space="preserve"> reasonably </w:t>
      </w:r>
      <w:r w:rsidRPr="003500B9">
        <w:t>plausible</w:t>
      </w:r>
      <w:r>
        <w:t xml:space="preserve"> </w:t>
      </w:r>
      <w:r w:rsidRPr="00A55B44">
        <w:t>views</w:t>
      </w:r>
      <w:r>
        <w:t xml:space="preserve"> of the future </w:t>
      </w:r>
      <w:r w:rsidRPr="003500B9">
        <w:t>that are</w:t>
      </w:r>
      <w:r w:rsidR="000361E5">
        <w:t xml:space="preserve"> impact</w:t>
      </w:r>
      <w:r>
        <w:t>fully</w:t>
      </w:r>
      <w:r w:rsidRPr="00A55B44">
        <w:t xml:space="preserve"> different from one another in each of these four areas. These views are </w:t>
      </w:r>
      <w:r>
        <w:t xml:space="preserve">then </w:t>
      </w:r>
      <w:r w:rsidRPr="00A55B44">
        <w:t>combined to create several scenarios</w:t>
      </w:r>
      <w:r>
        <w:t>. For each scenario, the Company uses its modeling system, Aurora, to identify a least-cost expansion plan that reliably meets load and satisfies many other conditions</w:t>
      </w:r>
      <w:r w:rsidRPr="00A55B44">
        <w:t>.</w:t>
      </w:r>
      <w:r>
        <w:t xml:space="preserve"> </w:t>
      </w:r>
      <w:r w:rsidRPr="000528B0">
        <w:t xml:space="preserve">The views and scenarios are refreshed annually. </w:t>
      </w:r>
    </w:p>
    <w:p w14:paraId="71C099A4" w14:textId="080CA83F" w:rsidR="00B5774A" w:rsidRDefault="008500C8" w:rsidP="00D86E63">
      <w:r>
        <w:lastRenderedPageBreak/>
        <w:t xml:space="preserve">For B2025 analyses, the Company created </w:t>
      </w:r>
      <w:r w:rsidR="00E85B23">
        <w:t xml:space="preserve">nine </w:t>
      </w:r>
      <w:r>
        <w:t xml:space="preserve">scenarios. For purposes of the Resource Mix Study, all </w:t>
      </w:r>
      <w:r w:rsidR="00AE35B7">
        <w:t xml:space="preserve">nine </w:t>
      </w:r>
      <w:r>
        <w:t xml:space="preserve">scenarios were evaluated. </w:t>
      </w:r>
      <w:r w:rsidR="00EA2A9F">
        <w:t>Any</w:t>
      </w:r>
      <w:r w:rsidR="00FA456E">
        <w:t xml:space="preserve"> specific</w:t>
      </w:r>
      <w:r>
        <w:t xml:space="preserve"> analysis </w:t>
      </w:r>
      <w:r w:rsidR="00EA2A9F">
        <w:t xml:space="preserve">the Company performs </w:t>
      </w:r>
      <w:r w:rsidR="00FA456E">
        <w:t xml:space="preserve">may </w:t>
      </w:r>
      <w:r>
        <w:t xml:space="preserve">be based on </w:t>
      </w:r>
      <w:r w:rsidR="00F36353">
        <w:t xml:space="preserve">all or </w:t>
      </w:r>
      <w:r>
        <w:t xml:space="preserve">a subset of those </w:t>
      </w:r>
      <w:r w:rsidR="00EA2A9F">
        <w:t>scenarios.</w:t>
      </w:r>
      <w:r w:rsidR="00346AC4">
        <w:t xml:space="preserve"> </w:t>
      </w:r>
    </w:p>
    <w:p w14:paraId="3501346A" w14:textId="2E76D796" w:rsidR="00730432" w:rsidRDefault="006962F4" w:rsidP="00D86E63">
      <w:pPr>
        <w:pStyle w:val="Heading2"/>
      </w:pPr>
      <w:bookmarkStart w:id="2" w:name="_Toc188405617"/>
      <w:r>
        <w:t xml:space="preserve">2.1 </w:t>
      </w:r>
      <w:r w:rsidR="00730432">
        <w:t>Budget 2025 Scenarios</w:t>
      </w:r>
      <w:bookmarkEnd w:id="2"/>
    </w:p>
    <w:p w14:paraId="281BA0EC" w14:textId="279441DC" w:rsidR="00F90E7A" w:rsidRDefault="00730432" w:rsidP="00D86E63">
      <w:r>
        <w:t xml:space="preserve">The </w:t>
      </w:r>
      <w:r w:rsidR="00B91C6A">
        <w:t>C</w:t>
      </w:r>
      <w:r>
        <w:t>ompany considers multiple views</w:t>
      </w:r>
      <w:r w:rsidR="00E56CB1">
        <w:t xml:space="preserve"> of</w:t>
      </w:r>
      <w:r>
        <w:t xml:space="preserve"> </w:t>
      </w:r>
      <w:r w:rsidR="0046583A">
        <w:t xml:space="preserve">the four key areas of </w:t>
      </w:r>
      <w:r w:rsidR="00E56CB1">
        <w:t>uncertainty</w:t>
      </w:r>
      <w:r w:rsidR="007E5949">
        <w:t xml:space="preserve">: </w:t>
      </w:r>
      <w:r w:rsidR="00B91C6A">
        <w:t>the future degree of greenhouse gas pressure, the future cost and performance of generating and storage technologies, future load growth, and future price of fuels</w:t>
      </w:r>
      <w:r w:rsidR="000A0992">
        <w:t xml:space="preserve">. For B2025, the Company assembled </w:t>
      </w:r>
      <w:r w:rsidR="00961921">
        <w:t>multiple views in</w:t>
      </w:r>
      <w:r w:rsidR="000A0992">
        <w:t xml:space="preserve"> these </w:t>
      </w:r>
      <w:r w:rsidR="00961921">
        <w:t>four areas</w:t>
      </w:r>
      <w:r w:rsidR="000A0992">
        <w:t xml:space="preserve"> into </w:t>
      </w:r>
      <w:r w:rsidR="00E85B23">
        <w:t>nine</w:t>
      </w:r>
      <w:r w:rsidR="00C62E13">
        <w:t xml:space="preserve"> </w:t>
      </w:r>
      <w:r w:rsidR="000A0992">
        <w:t xml:space="preserve">scenarios as summarized in Table </w:t>
      </w:r>
      <w:r w:rsidR="00F90E7A">
        <w:t>1</w:t>
      </w:r>
      <w:r w:rsidR="000A0992">
        <w:t xml:space="preserve">. </w:t>
      </w:r>
      <w:r w:rsidR="009217B9" w:rsidRPr="00A55B44">
        <w:rPr>
          <w:rFonts w:ascii="Aptos" w:eastAsia="Cambria" w:hAnsi="Aptos" w:cs="Cambria"/>
          <w:color w:val="000000" w:themeColor="text1"/>
        </w:rPr>
        <w:t xml:space="preserve">For example, as shown in Table </w:t>
      </w:r>
      <w:r w:rsidR="009217B9">
        <w:rPr>
          <w:rFonts w:ascii="Aptos" w:eastAsia="Cambria" w:hAnsi="Aptos" w:cs="Cambria"/>
          <w:color w:val="000000" w:themeColor="text1"/>
        </w:rPr>
        <w:t>1,</w:t>
      </w:r>
      <w:r w:rsidR="009217B9" w:rsidRPr="00A55B44">
        <w:rPr>
          <w:rFonts w:ascii="Aptos" w:eastAsia="Cambria" w:hAnsi="Aptos" w:cs="Cambria"/>
          <w:color w:val="000000" w:themeColor="text1"/>
        </w:rPr>
        <w:t xml:space="preserve"> Scenario </w:t>
      </w:r>
      <w:r w:rsidR="009217B9" w:rsidRPr="2E396D25">
        <w:rPr>
          <w:rFonts w:ascii="Aptos" w:eastAsia="Cambria" w:hAnsi="Aptos" w:cs="Cambria"/>
          <w:color w:val="000000" w:themeColor="text1"/>
        </w:rPr>
        <w:t>1</w:t>
      </w:r>
      <w:r w:rsidR="009217B9" w:rsidRPr="00A55B44">
        <w:rPr>
          <w:rFonts w:ascii="Aptos" w:eastAsia="Cambria" w:hAnsi="Aptos" w:cs="Cambria"/>
          <w:color w:val="000000" w:themeColor="text1"/>
        </w:rPr>
        <w:t xml:space="preserve"> (</w:t>
      </w:r>
      <w:r w:rsidR="009217B9" w:rsidRPr="10B6C249">
        <w:rPr>
          <w:rFonts w:ascii="Aptos" w:eastAsia="Cambria" w:hAnsi="Aptos" w:cs="Cambria"/>
          <w:color w:val="000000" w:themeColor="text1"/>
        </w:rPr>
        <w:t>111-MG0</w:t>
      </w:r>
      <w:r w:rsidR="009217B9" w:rsidRPr="00BD49A6">
        <w:rPr>
          <w:rFonts w:ascii="Aptos" w:eastAsia="Cambria" w:hAnsi="Aptos" w:cs="Cambria"/>
          <w:color w:val="000000" w:themeColor="text1"/>
        </w:rPr>
        <w:t>) is defined by pressure on CO</w:t>
      </w:r>
      <w:r w:rsidR="009217B9" w:rsidRPr="00BD49A6">
        <w:rPr>
          <w:rFonts w:ascii="Aptos" w:eastAsia="Cambria" w:hAnsi="Aptos" w:cs="Cambria"/>
          <w:color w:val="000000" w:themeColor="text1"/>
          <w:vertAlign w:val="subscript"/>
        </w:rPr>
        <w:t>2</w:t>
      </w:r>
      <w:r w:rsidR="0083054B">
        <w:rPr>
          <w:rFonts w:ascii="Aptos" w:eastAsia="Cambria" w:hAnsi="Aptos" w:cs="Cambria"/>
          <w:color w:val="000000" w:themeColor="text1"/>
        </w:rPr>
        <w:t xml:space="preserve"> </w:t>
      </w:r>
      <w:r w:rsidR="009217B9" w:rsidRPr="00BD49A6">
        <w:rPr>
          <w:rFonts w:ascii="Aptos" w:eastAsia="Cambria" w:hAnsi="Aptos" w:cs="Cambria"/>
          <w:color w:val="000000" w:themeColor="text1"/>
        </w:rPr>
        <w:t xml:space="preserve">emissions </w:t>
      </w:r>
      <w:r w:rsidR="009217B9" w:rsidRPr="2E396D25">
        <w:rPr>
          <w:rFonts w:ascii="Aptos" w:eastAsia="Cambria" w:hAnsi="Aptos" w:cs="Cambria"/>
          <w:color w:val="000000" w:themeColor="text1"/>
        </w:rPr>
        <w:t xml:space="preserve">consistent with the 111 GHG </w:t>
      </w:r>
      <w:r w:rsidR="009217B9">
        <w:rPr>
          <w:rFonts w:ascii="Aptos" w:eastAsia="Cambria" w:hAnsi="Aptos" w:cs="Cambria"/>
          <w:color w:val="000000" w:themeColor="text1"/>
        </w:rPr>
        <w:t>R</w:t>
      </w:r>
      <w:r w:rsidR="009217B9" w:rsidRPr="2E396D25">
        <w:rPr>
          <w:rFonts w:ascii="Aptos" w:eastAsia="Cambria" w:hAnsi="Aptos" w:cs="Cambria"/>
          <w:color w:val="000000" w:themeColor="text1"/>
        </w:rPr>
        <w:t xml:space="preserve">ules, </w:t>
      </w:r>
      <w:r w:rsidR="009217B9" w:rsidRPr="00BD49A6">
        <w:rPr>
          <w:rFonts w:ascii="Aptos" w:eastAsia="Cambria" w:hAnsi="Aptos" w:cs="Cambria"/>
          <w:color w:val="000000" w:themeColor="text1"/>
        </w:rPr>
        <w:t xml:space="preserve">includes the </w:t>
      </w:r>
      <w:r w:rsidR="009217B9" w:rsidRPr="00BD49A6">
        <w:rPr>
          <w:rFonts w:ascii="Aptos" w:eastAsia="Cambria" w:hAnsi="Aptos" w:cs="Cambria"/>
          <w:i/>
          <w:color w:val="000000" w:themeColor="text1"/>
        </w:rPr>
        <w:t>Tech Portfolio</w:t>
      </w:r>
      <w:r w:rsidR="009217B9" w:rsidRPr="00BD49A6">
        <w:rPr>
          <w:rFonts w:ascii="Aptos" w:eastAsia="Cambria" w:hAnsi="Aptos" w:cs="Cambria"/>
          <w:color w:val="000000" w:themeColor="text1"/>
        </w:rPr>
        <w:t xml:space="preserve"> view of future cost and performance of technologies, the </w:t>
      </w:r>
      <w:r w:rsidR="009217B9" w:rsidRPr="00BD49A6">
        <w:rPr>
          <w:rFonts w:ascii="Aptos" w:eastAsia="Cambria" w:hAnsi="Aptos" w:cs="Cambria"/>
          <w:i/>
          <w:color w:val="000000" w:themeColor="text1"/>
        </w:rPr>
        <w:t>Standard</w:t>
      </w:r>
      <w:r w:rsidR="009217B9" w:rsidRPr="00BD49A6">
        <w:rPr>
          <w:rFonts w:ascii="Aptos" w:eastAsia="Cambria" w:hAnsi="Aptos" w:cs="Cambria"/>
          <w:color w:val="000000" w:themeColor="text1"/>
        </w:rPr>
        <w:t xml:space="preserve"> load forecast </w:t>
      </w:r>
      <w:r w:rsidR="009217B9" w:rsidRPr="59059E53">
        <w:rPr>
          <w:rFonts w:ascii="Aptos" w:eastAsia="Cambria" w:hAnsi="Aptos" w:cs="Cambria"/>
          <w:color w:val="000000" w:themeColor="text1"/>
        </w:rPr>
        <w:t>view</w:t>
      </w:r>
      <w:r w:rsidR="009217B9">
        <w:rPr>
          <w:rFonts w:ascii="Aptos" w:eastAsia="Cambria" w:hAnsi="Aptos" w:cs="Cambria"/>
          <w:color w:val="000000" w:themeColor="text1"/>
        </w:rPr>
        <w:t>,</w:t>
      </w:r>
      <w:r w:rsidR="009217B9" w:rsidRPr="59059E53">
        <w:rPr>
          <w:rFonts w:ascii="Aptos" w:eastAsia="Cambria" w:hAnsi="Aptos" w:cs="Cambria"/>
          <w:color w:val="000000" w:themeColor="text1"/>
        </w:rPr>
        <w:t xml:space="preserve"> </w:t>
      </w:r>
      <w:r w:rsidR="009217B9" w:rsidRPr="00A55B44">
        <w:rPr>
          <w:rFonts w:ascii="Aptos" w:eastAsia="Cambria" w:hAnsi="Aptos" w:cs="Cambria"/>
          <w:color w:val="000000" w:themeColor="text1"/>
        </w:rPr>
        <w:t xml:space="preserve">and the </w:t>
      </w:r>
      <w:r w:rsidR="009217B9" w:rsidRPr="00A55B44">
        <w:rPr>
          <w:rFonts w:ascii="Aptos" w:eastAsia="Cambria" w:hAnsi="Aptos" w:cs="Cambria"/>
          <w:i/>
          <w:color w:val="000000" w:themeColor="text1"/>
        </w:rPr>
        <w:t>Moderate</w:t>
      </w:r>
      <w:r w:rsidR="009217B9" w:rsidRPr="00A55B44">
        <w:rPr>
          <w:rFonts w:ascii="Aptos" w:eastAsia="Cambria" w:hAnsi="Aptos" w:cs="Cambria"/>
          <w:color w:val="000000" w:themeColor="text1"/>
        </w:rPr>
        <w:t xml:space="preserve"> view </w:t>
      </w:r>
      <w:r w:rsidR="00BD06B1">
        <w:rPr>
          <w:rFonts w:ascii="Aptos" w:eastAsia="Cambria" w:hAnsi="Aptos" w:cs="Cambria"/>
          <w:color w:val="000000" w:themeColor="text1"/>
        </w:rPr>
        <w:t xml:space="preserve">of </w:t>
      </w:r>
      <w:r w:rsidR="009217B9" w:rsidRPr="00A55B44">
        <w:rPr>
          <w:rFonts w:ascii="Aptos" w:eastAsia="Cambria" w:hAnsi="Aptos" w:cs="Cambria"/>
          <w:color w:val="000000" w:themeColor="text1"/>
        </w:rPr>
        <w:t>future fuel prices.</w:t>
      </w:r>
      <w:r w:rsidR="00841425">
        <w:t xml:space="preserve"> The</w:t>
      </w:r>
      <w:r w:rsidR="00693A7C">
        <w:t xml:space="preserve"> views of GHG pressure, technology cost and performance, load, </w:t>
      </w:r>
      <w:r w:rsidR="00397A50">
        <w:t>and</w:t>
      </w:r>
      <w:r w:rsidR="00693A7C">
        <w:t xml:space="preserve"> future fuel prices are described in more detail in Section 2.2.</w:t>
      </w:r>
    </w:p>
    <w:p w14:paraId="228D3544" w14:textId="176B5E04" w:rsidR="00F90E7A" w:rsidRPr="00AA3A94" w:rsidRDefault="00F90E7A" w:rsidP="00A65265">
      <w:pPr>
        <w:pStyle w:val="Caption"/>
      </w:pPr>
      <w:r w:rsidRPr="00AA3A94">
        <w:t xml:space="preserve">Table </w:t>
      </w:r>
      <w:r w:rsidR="00C877B3">
        <w:fldChar w:fldCharType="begin"/>
      </w:r>
      <w:r w:rsidR="00C877B3">
        <w:instrText xml:space="preserve"> SEQ Table \* ARABIC </w:instrText>
      </w:r>
      <w:r w:rsidR="00C877B3">
        <w:fldChar w:fldCharType="separate"/>
      </w:r>
      <w:r w:rsidR="00C877B3" w:rsidRPr="00AA3A94">
        <w:rPr>
          <w:noProof/>
        </w:rPr>
        <w:t>1</w:t>
      </w:r>
      <w:r w:rsidR="00C877B3">
        <w:rPr>
          <w:noProof/>
        </w:rPr>
        <w:fldChar w:fldCharType="end"/>
      </w:r>
      <w:r w:rsidRPr="00AA3A94">
        <w:t>: B2025 Scenario Design</w:t>
      </w:r>
    </w:p>
    <w:p w14:paraId="0F005503" w14:textId="629C8C01" w:rsidR="00E74B78" w:rsidRDefault="00B14B63" w:rsidP="009D1720">
      <w:pPr>
        <w:keepNext/>
      </w:pPr>
      <w:r>
        <w:rPr>
          <w:noProof/>
        </w:rPr>
        <w:drawing>
          <wp:inline distT="0" distB="0" distL="0" distR="0" wp14:anchorId="0A2EC373" wp14:editId="7797D34D">
            <wp:extent cx="5914184" cy="2481121"/>
            <wp:effectExtent l="0" t="0" r="0" b="0"/>
            <wp:docPr id="160560663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56211" cy="2498752"/>
                    </a:xfrm>
                    <a:prstGeom prst="rect">
                      <a:avLst/>
                    </a:prstGeom>
                    <a:noFill/>
                  </pic:spPr>
                </pic:pic>
              </a:graphicData>
            </a:graphic>
          </wp:inline>
        </w:drawing>
      </w:r>
    </w:p>
    <w:p w14:paraId="3BB71EF6" w14:textId="07B146D6" w:rsidR="00A71D6A" w:rsidRPr="007B5596" w:rsidRDefault="00E77FAD" w:rsidP="00A71D6A">
      <w:pPr>
        <w:rPr>
          <w:rFonts w:ascii="Aptos" w:eastAsia="Cambria" w:hAnsi="Aptos" w:cs="Cambria"/>
          <w:color w:val="000000" w:themeColor="text1"/>
        </w:rPr>
      </w:pPr>
      <w:r w:rsidRPr="003F7CF4">
        <w:rPr>
          <w:rFonts w:ascii="Aptos" w:eastAsia="Cambria" w:hAnsi="Aptos" w:cs="Cambria"/>
          <w:color w:val="000000" w:themeColor="text1"/>
        </w:rPr>
        <w:t>The B2025 scenario design reflects an appropriately diverse set of plausible, meaningfully different views of the future evolution of the key resource planning drivers.</w:t>
      </w:r>
      <w:r w:rsidR="00714FEA">
        <w:rPr>
          <w:rFonts w:ascii="Aptos" w:eastAsia="Cambria" w:hAnsi="Aptos" w:cs="Cambria"/>
          <w:color w:val="000000" w:themeColor="text1"/>
        </w:rPr>
        <w:t xml:space="preserve"> </w:t>
      </w:r>
      <w:r w:rsidR="00A71D6A" w:rsidRPr="007B5596">
        <w:rPr>
          <w:rFonts w:ascii="Aptos" w:eastAsia="Cambria" w:hAnsi="Aptos" w:cs="Cambria"/>
          <w:color w:val="000000" w:themeColor="text1"/>
        </w:rPr>
        <w:t xml:space="preserve">The description of the assumptions and details of these different </w:t>
      </w:r>
      <w:r w:rsidR="00947C81">
        <w:rPr>
          <w:rFonts w:ascii="Aptos" w:eastAsia="Cambria" w:hAnsi="Aptos" w:cs="Cambria"/>
          <w:color w:val="000000" w:themeColor="text1"/>
        </w:rPr>
        <w:t xml:space="preserve">scenario </w:t>
      </w:r>
      <w:r w:rsidR="00A71D6A" w:rsidRPr="007B5596">
        <w:rPr>
          <w:rFonts w:ascii="Aptos" w:eastAsia="Cambria" w:hAnsi="Aptos" w:cs="Cambria"/>
          <w:color w:val="000000" w:themeColor="text1"/>
        </w:rPr>
        <w:t xml:space="preserve">views are provided in </w:t>
      </w:r>
      <w:r w:rsidR="00947C81">
        <w:rPr>
          <w:rFonts w:ascii="Aptos" w:eastAsia="Cambria" w:hAnsi="Aptos" w:cs="Cambria"/>
          <w:color w:val="000000" w:themeColor="text1"/>
        </w:rPr>
        <w:t>S</w:t>
      </w:r>
      <w:r w:rsidR="00A71D6A" w:rsidRPr="007B5596">
        <w:rPr>
          <w:rFonts w:ascii="Aptos" w:eastAsia="Cambria" w:hAnsi="Aptos" w:cs="Cambria"/>
          <w:color w:val="000000" w:themeColor="text1"/>
        </w:rPr>
        <w:t>ection</w:t>
      </w:r>
      <w:r w:rsidR="00947C81">
        <w:rPr>
          <w:rFonts w:ascii="Aptos" w:eastAsia="Cambria" w:hAnsi="Aptos" w:cs="Cambria"/>
          <w:color w:val="000000" w:themeColor="text1"/>
        </w:rPr>
        <w:t xml:space="preserve"> 2.2</w:t>
      </w:r>
      <w:r w:rsidR="00A71D6A" w:rsidRPr="007B5596">
        <w:rPr>
          <w:rFonts w:ascii="Aptos" w:eastAsia="Cambria" w:hAnsi="Aptos" w:cs="Cambria"/>
          <w:color w:val="000000" w:themeColor="text1"/>
        </w:rPr>
        <w:t xml:space="preserve"> below.</w:t>
      </w:r>
    </w:p>
    <w:p w14:paraId="3F9AE6CF" w14:textId="77777777" w:rsidR="00F90E7A" w:rsidRDefault="00F90E7A" w:rsidP="00714FEA"/>
    <w:p w14:paraId="620C5B3F" w14:textId="7D381CA5" w:rsidR="00F90E7A" w:rsidRDefault="006962F4" w:rsidP="00D86E63">
      <w:pPr>
        <w:pStyle w:val="Heading2"/>
      </w:pPr>
      <w:bookmarkStart w:id="3" w:name="_Toc188405618"/>
      <w:r>
        <w:lastRenderedPageBreak/>
        <w:t xml:space="preserve">2.2 </w:t>
      </w:r>
      <w:r w:rsidR="00411DC7">
        <w:t>Scenario Views</w:t>
      </w:r>
      <w:bookmarkEnd w:id="3"/>
      <w:r w:rsidR="00F90E7A">
        <w:t xml:space="preserve"> </w:t>
      </w:r>
    </w:p>
    <w:p w14:paraId="1C080E4D" w14:textId="5D0443C0" w:rsidR="00F200B5" w:rsidRDefault="00F200B5" w:rsidP="00F200B5">
      <w:r w:rsidRPr="5DB97BA8">
        <w:t xml:space="preserve">As </w:t>
      </w:r>
      <w:r w:rsidRPr="27FC2D6E">
        <w:t>shown in</w:t>
      </w:r>
      <w:r w:rsidRPr="5DB97BA8">
        <w:t xml:space="preserve"> Table </w:t>
      </w:r>
      <w:r>
        <w:t>1</w:t>
      </w:r>
      <w:r w:rsidRPr="5DB97BA8">
        <w:t xml:space="preserve">, the Company divided its scenarios into two sets. The first set adopts the view that the recently finalized </w:t>
      </w:r>
      <w:r w:rsidR="00EF437F">
        <w:t>111 GHG Rules</w:t>
      </w:r>
      <w:r w:rsidR="00EF437F" w:rsidRPr="5DB97BA8">
        <w:t xml:space="preserve"> </w:t>
      </w:r>
      <w:r w:rsidRPr="5DB97BA8">
        <w:t xml:space="preserve">remain in effect. There are three scenarios in this set. The other set of scenarios adopts the view that the 111 </w:t>
      </w:r>
      <w:r>
        <w:t>GHG R</w:t>
      </w:r>
      <w:r w:rsidRPr="5DB97BA8">
        <w:t xml:space="preserve">ules do not remain in effect. There are six scenarios in this set. All nine scenarios differ from one another by adopting different combinations of views in four </w:t>
      </w:r>
      <w:r>
        <w:t xml:space="preserve">key </w:t>
      </w:r>
      <w:r w:rsidRPr="5DB97BA8">
        <w:t xml:space="preserve">areas: the future degree of </w:t>
      </w:r>
      <w:r>
        <w:t>GHG</w:t>
      </w:r>
      <w:r w:rsidRPr="5DB97BA8">
        <w:t xml:space="preserve"> pressure, the future cost and performance of generating and storage technologies, future load growth, and future price of fuels</w:t>
      </w:r>
      <w:r w:rsidRPr="3E9DADF2">
        <w:t xml:space="preserve">. </w:t>
      </w:r>
      <w:r>
        <w:t>The description and</w:t>
      </w:r>
      <w:r w:rsidRPr="007B5596">
        <w:t xml:space="preserve"> details</w:t>
      </w:r>
      <w:r>
        <w:t xml:space="preserve"> of each of these four key areas</w:t>
      </w:r>
      <w:r w:rsidDel="00AD4BC9">
        <w:t xml:space="preserve"> </w:t>
      </w:r>
      <w:r w:rsidRPr="003F7CF4">
        <w:t>are discussed in the following sections.</w:t>
      </w:r>
    </w:p>
    <w:p w14:paraId="2230AF67" w14:textId="714735EE" w:rsidR="00553EFF" w:rsidRDefault="006962F4" w:rsidP="00D86E63">
      <w:pPr>
        <w:pStyle w:val="Heading3"/>
      </w:pPr>
      <w:bookmarkStart w:id="4" w:name="_Toc188405619"/>
      <w:r>
        <w:t xml:space="preserve">2.2.1 </w:t>
      </w:r>
      <w:r w:rsidR="00553EFF">
        <w:t>Greenhouse Gas Pressure</w:t>
      </w:r>
      <w:r>
        <w:t xml:space="preserve"> Views</w:t>
      </w:r>
      <w:bookmarkEnd w:id="4"/>
    </w:p>
    <w:p w14:paraId="5F1C85FA" w14:textId="2D67ACDE" w:rsidR="007D5425" w:rsidRPr="003F7CF4" w:rsidRDefault="007D5425" w:rsidP="007D5425">
      <w:pPr>
        <w:rPr>
          <w:rFonts w:ascii="Aptos" w:eastAsia="Cambria" w:hAnsi="Aptos" w:cs="Cambria"/>
          <w:color w:val="000000" w:themeColor="text1"/>
        </w:rPr>
      </w:pPr>
      <w:r w:rsidRPr="003F7CF4">
        <w:rPr>
          <w:rFonts w:ascii="Aptos" w:eastAsia="Cambria" w:hAnsi="Aptos" w:cs="Cambria"/>
          <w:color w:val="000000" w:themeColor="text1"/>
        </w:rPr>
        <w:t xml:space="preserve">The degree of pressure on </w:t>
      </w:r>
      <w:r>
        <w:rPr>
          <w:rFonts w:ascii="Aptos" w:eastAsia="Cambria" w:hAnsi="Aptos" w:cs="Cambria"/>
          <w:color w:val="000000" w:themeColor="text1"/>
        </w:rPr>
        <w:t>GHG</w:t>
      </w:r>
      <w:r w:rsidRPr="003F7CF4">
        <w:rPr>
          <w:rFonts w:ascii="Aptos" w:eastAsia="Cambria" w:hAnsi="Aptos" w:cs="Cambria"/>
          <w:color w:val="000000" w:themeColor="text1"/>
        </w:rPr>
        <w:t xml:space="preserve"> emissions</w:t>
      </w:r>
      <w:r w:rsidR="00127F71">
        <w:rPr>
          <w:rStyle w:val="FootnoteReference"/>
          <w:rFonts w:ascii="Aptos" w:eastAsia="Cambria" w:hAnsi="Aptos" w:cs="Cambria"/>
          <w:color w:val="000000" w:themeColor="text1"/>
        </w:rPr>
        <w:footnoteReference w:id="2"/>
      </w:r>
      <w:r w:rsidRPr="003F7CF4">
        <w:rPr>
          <w:rFonts w:ascii="Aptos" w:eastAsia="Cambria" w:hAnsi="Aptos" w:cs="Cambria"/>
          <w:color w:val="000000" w:themeColor="text1"/>
        </w:rPr>
        <w:t xml:space="preserve"> in the future is uncertain. The </w:t>
      </w:r>
      <w:r>
        <w:rPr>
          <w:rFonts w:ascii="Aptos" w:eastAsia="Cambria" w:hAnsi="Aptos" w:cs="Cambria"/>
          <w:color w:val="000000" w:themeColor="text1"/>
        </w:rPr>
        <w:t>C</w:t>
      </w:r>
      <w:r w:rsidRPr="003F7CF4">
        <w:rPr>
          <w:rFonts w:ascii="Aptos" w:eastAsia="Cambria" w:hAnsi="Aptos" w:cs="Cambria"/>
          <w:color w:val="000000" w:themeColor="text1"/>
        </w:rPr>
        <w:t xml:space="preserve">ompany considered </w:t>
      </w:r>
      <w:r w:rsidRPr="2AF5CF4A">
        <w:rPr>
          <w:rFonts w:ascii="Aptos" w:eastAsia="Cambria" w:hAnsi="Aptos" w:cs="Cambria"/>
          <w:color w:val="000000" w:themeColor="text1"/>
        </w:rPr>
        <w:t xml:space="preserve">six </w:t>
      </w:r>
      <w:r w:rsidRPr="003F7CF4">
        <w:rPr>
          <w:rFonts w:ascii="Aptos" w:eastAsia="Cambria" w:hAnsi="Aptos" w:cs="Cambria"/>
          <w:color w:val="000000" w:themeColor="text1"/>
        </w:rPr>
        <w:t xml:space="preserve">different views of how </w:t>
      </w:r>
      <w:r w:rsidR="00EF63CF">
        <w:rPr>
          <w:rFonts w:ascii="Aptos" w:eastAsia="Cambria" w:hAnsi="Aptos" w:cs="Cambria"/>
          <w:color w:val="000000" w:themeColor="text1"/>
        </w:rPr>
        <w:t xml:space="preserve">future </w:t>
      </w:r>
      <w:r>
        <w:rPr>
          <w:rFonts w:ascii="Aptos" w:eastAsia="Cambria" w:hAnsi="Aptos" w:cs="Cambria"/>
          <w:color w:val="000000" w:themeColor="text1"/>
        </w:rPr>
        <w:t>GHG</w:t>
      </w:r>
      <w:r w:rsidRPr="003F7CF4">
        <w:rPr>
          <w:rFonts w:ascii="Aptos" w:eastAsia="Cambria" w:hAnsi="Aptos" w:cs="Cambria"/>
          <w:color w:val="000000" w:themeColor="text1"/>
        </w:rPr>
        <w:t xml:space="preserve"> pressure could evolve. </w:t>
      </w:r>
      <w:r>
        <w:rPr>
          <w:rFonts w:ascii="Aptos" w:eastAsia="Cambria" w:hAnsi="Aptos" w:cs="Cambria"/>
          <w:color w:val="000000" w:themeColor="text1"/>
        </w:rPr>
        <w:t xml:space="preserve">The first view </w:t>
      </w:r>
      <w:r w:rsidRPr="7B66DE83">
        <w:rPr>
          <w:rFonts w:ascii="Aptos" w:eastAsia="Cambria" w:hAnsi="Aptos" w:cs="Cambria"/>
          <w:color w:val="000000" w:themeColor="text1"/>
        </w:rPr>
        <w:t>is that GHG</w:t>
      </w:r>
      <w:r w:rsidRPr="003F7CF4">
        <w:rPr>
          <w:rFonts w:ascii="Aptos" w:eastAsia="Cambria" w:hAnsi="Aptos" w:cs="Cambria"/>
          <w:color w:val="000000" w:themeColor="text1"/>
        </w:rPr>
        <w:t xml:space="preserve"> pressure remains unchanged from where it is today (</w:t>
      </w:r>
      <w:r w:rsidRPr="003F7CF4">
        <w:rPr>
          <w:rFonts w:ascii="Aptos" w:eastAsia="Cambria" w:hAnsi="Aptos" w:cs="Cambria"/>
          <w:i/>
          <w:color w:val="000000" w:themeColor="text1"/>
        </w:rPr>
        <w:t>111</w:t>
      </w:r>
      <w:r w:rsidRPr="2AF5CF4A">
        <w:rPr>
          <w:rFonts w:ascii="Aptos" w:eastAsia="Cambria" w:hAnsi="Aptos" w:cs="Cambria"/>
          <w:color w:val="000000" w:themeColor="text1"/>
        </w:rPr>
        <w:t xml:space="preserve"> </w:t>
      </w:r>
      <w:r w:rsidRPr="003F7CF4">
        <w:rPr>
          <w:rFonts w:ascii="Aptos" w:eastAsia="Cambria" w:hAnsi="Aptos" w:cs="Cambria"/>
          <w:color w:val="000000" w:themeColor="text1"/>
        </w:rPr>
        <w:t xml:space="preserve">view). The second </w:t>
      </w:r>
      <w:r>
        <w:rPr>
          <w:rFonts w:ascii="Aptos" w:eastAsia="Cambria" w:hAnsi="Aptos" w:cs="Cambria"/>
          <w:color w:val="000000" w:themeColor="text1"/>
        </w:rPr>
        <w:t>view</w:t>
      </w:r>
      <w:r w:rsidRPr="003F7CF4">
        <w:rPr>
          <w:rFonts w:ascii="Aptos" w:eastAsia="Cambria" w:hAnsi="Aptos" w:cs="Cambria"/>
          <w:color w:val="000000" w:themeColor="text1"/>
        </w:rPr>
        <w:t xml:space="preserve"> </w:t>
      </w:r>
      <w:r w:rsidRPr="7B66DE83">
        <w:rPr>
          <w:rFonts w:ascii="Aptos" w:eastAsia="Cambria" w:hAnsi="Aptos" w:cs="Cambria"/>
          <w:color w:val="000000" w:themeColor="text1"/>
        </w:rPr>
        <w:t xml:space="preserve">is that in addition to the 111 </w:t>
      </w:r>
      <w:r>
        <w:rPr>
          <w:rFonts w:ascii="Aptos" w:eastAsia="Cambria" w:hAnsi="Aptos" w:cs="Cambria"/>
          <w:color w:val="000000" w:themeColor="text1"/>
        </w:rPr>
        <w:t>GHG R</w:t>
      </w:r>
      <w:r w:rsidRPr="6FA71CC0">
        <w:rPr>
          <w:rFonts w:ascii="Aptos" w:eastAsia="Cambria" w:hAnsi="Aptos" w:cs="Cambria"/>
          <w:color w:val="000000" w:themeColor="text1"/>
        </w:rPr>
        <w:t>ules</w:t>
      </w:r>
      <w:r w:rsidRPr="7B66DE83">
        <w:rPr>
          <w:rFonts w:ascii="Aptos" w:eastAsia="Cambria" w:hAnsi="Aptos" w:cs="Cambria"/>
          <w:color w:val="000000" w:themeColor="text1"/>
        </w:rPr>
        <w:t xml:space="preserve"> remaining in place, </w:t>
      </w:r>
      <w:r w:rsidRPr="7997466A">
        <w:rPr>
          <w:rFonts w:ascii="Aptos" w:eastAsia="Cambria" w:hAnsi="Aptos" w:cs="Cambria"/>
          <w:color w:val="000000" w:themeColor="text1"/>
        </w:rPr>
        <w:t xml:space="preserve">a higher degree of </w:t>
      </w:r>
      <w:r w:rsidRPr="28BDFA7F">
        <w:rPr>
          <w:rFonts w:ascii="Aptos" w:eastAsia="Cambria" w:hAnsi="Aptos" w:cs="Cambria"/>
          <w:color w:val="000000" w:themeColor="text1"/>
        </w:rPr>
        <w:t>GHG</w:t>
      </w:r>
      <w:r w:rsidRPr="7997466A">
        <w:rPr>
          <w:rFonts w:ascii="Aptos" w:eastAsia="Cambria" w:hAnsi="Aptos" w:cs="Cambria"/>
          <w:color w:val="000000" w:themeColor="text1"/>
        </w:rPr>
        <w:t xml:space="preserve"> pressure </w:t>
      </w:r>
      <w:r w:rsidRPr="28BDFA7F">
        <w:rPr>
          <w:rFonts w:ascii="Aptos" w:eastAsia="Cambria" w:hAnsi="Aptos" w:cs="Cambria"/>
          <w:color w:val="000000" w:themeColor="text1"/>
        </w:rPr>
        <w:t>is exerted on the Company’s emissions (</w:t>
      </w:r>
      <w:r w:rsidRPr="003F7CF4">
        <w:rPr>
          <w:rFonts w:ascii="Aptos" w:eastAsia="Cambria" w:hAnsi="Aptos" w:cs="Cambria"/>
          <w:i/>
          <w:color w:val="000000" w:themeColor="text1"/>
        </w:rPr>
        <w:t>111 + Higher</w:t>
      </w:r>
      <w:r w:rsidRPr="28BDFA7F">
        <w:rPr>
          <w:rFonts w:ascii="Aptos" w:eastAsia="Cambria" w:hAnsi="Aptos" w:cs="Cambria"/>
          <w:color w:val="000000" w:themeColor="text1"/>
        </w:rPr>
        <w:t xml:space="preserve"> view). The third view is that the 111 </w:t>
      </w:r>
      <w:r>
        <w:rPr>
          <w:rFonts w:ascii="Aptos" w:eastAsia="Cambria" w:hAnsi="Aptos" w:cs="Cambria"/>
          <w:color w:val="000000" w:themeColor="text1"/>
        </w:rPr>
        <w:t>GHG Rule</w:t>
      </w:r>
      <w:r w:rsidR="00312422">
        <w:rPr>
          <w:rFonts w:ascii="Aptos" w:eastAsia="Cambria" w:hAnsi="Aptos" w:cs="Cambria"/>
          <w:color w:val="000000" w:themeColor="text1"/>
        </w:rPr>
        <w:t>s</w:t>
      </w:r>
      <w:r>
        <w:rPr>
          <w:rFonts w:ascii="Aptos" w:eastAsia="Cambria" w:hAnsi="Aptos" w:cs="Cambria"/>
          <w:color w:val="000000" w:themeColor="text1"/>
        </w:rPr>
        <w:t xml:space="preserve"> </w:t>
      </w:r>
      <w:r w:rsidRPr="28BDFA7F">
        <w:rPr>
          <w:rFonts w:ascii="Aptos" w:eastAsia="Cambria" w:hAnsi="Aptos" w:cs="Cambria"/>
          <w:color w:val="000000" w:themeColor="text1"/>
        </w:rPr>
        <w:t xml:space="preserve">requirements do not </w:t>
      </w:r>
      <w:r w:rsidRPr="000CF701">
        <w:rPr>
          <w:rFonts w:ascii="Aptos" w:eastAsia="Cambria" w:hAnsi="Aptos" w:cs="Cambria"/>
          <w:color w:val="000000" w:themeColor="text1"/>
        </w:rPr>
        <w:t>remain in place</w:t>
      </w:r>
      <w:r w:rsidR="003A25AC">
        <w:rPr>
          <w:rFonts w:ascii="Aptos" w:eastAsia="Cambria" w:hAnsi="Aptos" w:cs="Cambria"/>
          <w:color w:val="000000" w:themeColor="text1"/>
        </w:rPr>
        <w:t>,</w:t>
      </w:r>
      <w:r w:rsidRPr="000CF701">
        <w:rPr>
          <w:rFonts w:ascii="Aptos" w:eastAsia="Cambria" w:hAnsi="Aptos" w:cs="Cambria"/>
          <w:color w:val="000000" w:themeColor="text1"/>
        </w:rPr>
        <w:t xml:space="preserve"> and no </w:t>
      </w:r>
      <w:r w:rsidR="00371DBC">
        <w:rPr>
          <w:rFonts w:ascii="Aptos" w:eastAsia="Cambria" w:hAnsi="Aptos" w:cs="Cambria"/>
          <w:color w:val="000000" w:themeColor="text1"/>
        </w:rPr>
        <w:t>additional</w:t>
      </w:r>
      <w:r w:rsidRPr="000CF701">
        <w:rPr>
          <w:rFonts w:ascii="Aptos" w:eastAsia="Cambria" w:hAnsi="Aptos" w:cs="Cambria"/>
          <w:color w:val="000000" w:themeColor="text1"/>
        </w:rPr>
        <w:t xml:space="preserve"> pressure takes their place (</w:t>
      </w:r>
      <w:r w:rsidRPr="003F7CF4">
        <w:rPr>
          <w:rFonts w:ascii="Aptos" w:eastAsia="Cambria" w:hAnsi="Aptos" w:cs="Cambria"/>
          <w:i/>
          <w:color w:val="000000" w:themeColor="text1"/>
        </w:rPr>
        <w:t>Lower</w:t>
      </w:r>
      <w:r w:rsidRPr="000CF701">
        <w:rPr>
          <w:rFonts w:ascii="Aptos" w:eastAsia="Cambria" w:hAnsi="Aptos" w:cs="Cambria"/>
          <w:color w:val="000000" w:themeColor="text1"/>
        </w:rPr>
        <w:t xml:space="preserve"> view). The fourth view is that the 111 </w:t>
      </w:r>
      <w:r>
        <w:rPr>
          <w:rFonts w:ascii="Aptos" w:eastAsia="Cambria" w:hAnsi="Aptos" w:cs="Cambria"/>
          <w:color w:val="000000" w:themeColor="text1"/>
        </w:rPr>
        <w:t>GHG R</w:t>
      </w:r>
      <w:r w:rsidRPr="29B274C2">
        <w:rPr>
          <w:rFonts w:ascii="Aptos" w:eastAsia="Cambria" w:hAnsi="Aptos" w:cs="Cambria"/>
          <w:color w:val="000000" w:themeColor="text1"/>
        </w:rPr>
        <w:t>ules</w:t>
      </w:r>
      <w:r w:rsidRPr="000CF701">
        <w:rPr>
          <w:rFonts w:ascii="Aptos" w:eastAsia="Cambria" w:hAnsi="Aptos" w:cs="Cambria"/>
          <w:color w:val="000000" w:themeColor="text1"/>
        </w:rPr>
        <w:t xml:space="preserve"> do not remain in place</w:t>
      </w:r>
      <w:r w:rsidR="002946D9">
        <w:rPr>
          <w:rFonts w:ascii="Aptos" w:eastAsia="Cambria" w:hAnsi="Aptos" w:cs="Cambria"/>
          <w:color w:val="000000" w:themeColor="text1"/>
        </w:rPr>
        <w:t>,</w:t>
      </w:r>
      <w:r w:rsidRPr="000CF701">
        <w:rPr>
          <w:rFonts w:ascii="Aptos" w:eastAsia="Cambria" w:hAnsi="Aptos" w:cs="Cambria"/>
          <w:color w:val="000000" w:themeColor="text1"/>
        </w:rPr>
        <w:t xml:space="preserve"> and a moderate degree of GHG pressure is exerted on the Company’s emissions (</w:t>
      </w:r>
      <w:r w:rsidRPr="003F7CF4">
        <w:rPr>
          <w:rFonts w:ascii="Aptos" w:eastAsia="Cambria" w:hAnsi="Aptos" w:cs="Cambria"/>
          <w:i/>
          <w:color w:val="000000" w:themeColor="text1"/>
        </w:rPr>
        <w:t>Moderate</w:t>
      </w:r>
      <w:r w:rsidRPr="000CF701">
        <w:rPr>
          <w:rFonts w:ascii="Aptos" w:eastAsia="Cambria" w:hAnsi="Aptos" w:cs="Cambria"/>
          <w:color w:val="000000" w:themeColor="text1"/>
        </w:rPr>
        <w:t xml:space="preserve"> view). The fifth view is that the 111 </w:t>
      </w:r>
      <w:r>
        <w:rPr>
          <w:rFonts w:ascii="Aptos" w:eastAsia="Cambria" w:hAnsi="Aptos" w:cs="Cambria"/>
          <w:color w:val="000000" w:themeColor="text1"/>
        </w:rPr>
        <w:t>GHG R</w:t>
      </w:r>
      <w:r w:rsidRPr="50A34C68">
        <w:rPr>
          <w:rFonts w:ascii="Aptos" w:eastAsia="Cambria" w:hAnsi="Aptos" w:cs="Cambria"/>
          <w:color w:val="000000" w:themeColor="text1"/>
        </w:rPr>
        <w:t>ules</w:t>
      </w:r>
      <w:r w:rsidRPr="000CF701">
        <w:rPr>
          <w:rFonts w:ascii="Aptos" w:eastAsia="Cambria" w:hAnsi="Aptos" w:cs="Cambria"/>
          <w:color w:val="000000" w:themeColor="text1"/>
        </w:rPr>
        <w:t xml:space="preserve"> do not </w:t>
      </w:r>
      <w:r w:rsidRPr="6322964C">
        <w:rPr>
          <w:rFonts w:ascii="Aptos" w:eastAsia="Cambria" w:hAnsi="Aptos" w:cs="Cambria"/>
          <w:color w:val="000000" w:themeColor="text1"/>
        </w:rPr>
        <w:t>remain in place</w:t>
      </w:r>
      <w:r w:rsidR="002946D9">
        <w:rPr>
          <w:rFonts w:ascii="Aptos" w:eastAsia="Cambria" w:hAnsi="Aptos" w:cs="Cambria"/>
          <w:color w:val="000000" w:themeColor="text1"/>
        </w:rPr>
        <w:t>,</w:t>
      </w:r>
      <w:r w:rsidRPr="6322964C">
        <w:rPr>
          <w:rFonts w:ascii="Aptos" w:eastAsia="Cambria" w:hAnsi="Aptos" w:cs="Cambria"/>
          <w:color w:val="000000" w:themeColor="text1"/>
        </w:rPr>
        <w:t xml:space="preserve"> and a higher degree of GHG pressure is exerted on the Company’s emissions (</w:t>
      </w:r>
      <w:r w:rsidRPr="003F7CF4">
        <w:rPr>
          <w:rFonts w:ascii="Aptos" w:eastAsia="Cambria" w:hAnsi="Aptos" w:cs="Cambria"/>
          <w:i/>
          <w:color w:val="000000" w:themeColor="text1"/>
        </w:rPr>
        <w:t>Higher</w:t>
      </w:r>
      <w:r w:rsidRPr="6322964C">
        <w:rPr>
          <w:rFonts w:ascii="Aptos" w:eastAsia="Cambria" w:hAnsi="Aptos" w:cs="Cambria"/>
          <w:color w:val="000000" w:themeColor="text1"/>
        </w:rPr>
        <w:t xml:space="preserve"> view). </w:t>
      </w:r>
      <w:r w:rsidR="002946D9">
        <w:rPr>
          <w:rFonts w:ascii="Aptos" w:eastAsia="Cambria" w:hAnsi="Aptos" w:cs="Cambria"/>
          <w:color w:val="000000" w:themeColor="text1"/>
        </w:rPr>
        <w:t xml:space="preserve">Finally, </w:t>
      </w:r>
      <w:r w:rsidRPr="6322964C">
        <w:rPr>
          <w:rFonts w:ascii="Aptos" w:eastAsia="Cambria" w:hAnsi="Aptos" w:cs="Cambria"/>
          <w:color w:val="000000" w:themeColor="text1"/>
        </w:rPr>
        <w:t xml:space="preserve">the sixth view is that </w:t>
      </w:r>
      <w:r w:rsidRPr="003F7CF4">
        <w:rPr>
          <w:rFonts w:ascii="Aptos" w:eastAsia="Cambria" w:hAnsi="Aptos" w:cs="Cambria"/>
          <w:color w:val="000000" w:themeColor="text1"/>
        </w:rPr>
        <w:t xml:space="preserve">a limit </w:t>
      </w:r>
      <w:r>
        <w:rPr>
          <w:rFonts w:ascii="Aptos" w:eastAsia="Cambria" w:hAnsi="Aptos" w:cs="Cambria"/>
          <w:color w:val="000000" w:themeColor="text1"/>
        </w:rPr>
        <w:t xml:space="preserve">is placed </w:t>
      </w:r>
      <w:r w:rsidRPr="003F7CF4">
        <w:rPr>
          <w:rFonts w:ascii="Aptos" w:eastAsia="Cambria" w:hAnsi="Aptos" w:cs="Cambria"/>
          <w:color w:val="000000" w:themeColor="text1"/>
        </w:rPr>
        <w:t xml:space="preserve">on the </w:t>
      </w:r>
      <w:r>
        <w:rPr>
          <w:rFonts w:ascii="Aptos" w:eastAsia="Cambria" w:hAnsi="Aptos" w:cs="Cambria"/>
          <w:color w:val="000000" w:themeColor="text1"/>
        </w:rPr>
        <w:t>C</w:t>
      </w:r>
      <w:r w:rsidRPr="003F7CF4">
        <w:rPr>
          <w:rFonts w:ascii="Aptos" w:eastAsia="Cambria" w:hAnsi="Aptos" w:cs="Cambria"/>
          <w:color w:val="000000" w:themeColor="text1"/>
        </w:rPr>
        <w:t>ompany’s aggregate emissions (</w:t>
      </w:r>
      <w:r w:rsidRPr="003F7CF4">
        <w:rPr>
          <w:rFonts w:ascii="Aptos" w:eastAsia="Cambria" w:hAnsi="Aptos" w:cs="Cambria"/>
          <w:i/>
          <w:color w:val="000000" w:themeColor="text1"/>
        </w:rPr>
        <w:t>Emissions Limit</w:t>
      </w:r>
      <w:r w:rsidRPr="003F7CF4">
        <w:rPr>
          <w:rFonts w:ascii="Aptos" w:eastAsia="Cambria" w:hAnsi="Aptos" w:cs="Cambria"/>
          <w:color w:val="000000" w:themeColor="text1"/>
        </w:rPr>
        <w:t xml:space="preserve"> view). These views have been chosen to span a range of currently plausible outcomes.</w:t>
      </w:r>
    </w:p>
    <w:p w14:paraId="644CA63A" w14:textId="7FA157F8" w:rsidR="007D5425" w:rsidRDefault="007D5425" w:rsidP="007D5425">
      <w:pPr>
        <w:rPr>
          <w:rFonts w:eastAsia="Cambria" w:cs="Cambria"/>
          <w:color w:val="000000" w:themeColor="text1"/>
        </w:rPr>
      </w:pPr>
      <w:r w:rsidRPr="12410F0B">
        <w:rPr>
          <w:rFonts w:eastAsia="Cambria" w:cs="Cambria"/>
          <w:color w:val="000000" w:themeColor="text1"/>
        </w:rPr>
        <w:t xml:space="preserve">Under </w:t>
      </w:r>
      <w:r w:rsidRPr="000311FB">
        <w:rPr>
          <w:rFonts w:eastAsia="Cambria" w:cs="Cambria"/>
          <w:color w:val="000000" w:themeColor="text1"/>
        </w:rPr>
        <w:t>EPA</w:t>
      </w:r>
      <w:r w:rsidR="007C3B23">
        <w:rPr>
          <w:rFonts w:eastAsia="Cambria" w:cs="Cambria"/>
          <w:color w:val="000000" w:themeColor="text1"/>
        </w:rPr>
        <w:t>’</w:t>
      </w:r>
      <w:r w:rsidRPr="000311FB">
        <w:rPr>
          <w:rFonts w:eastAsia="Cambria" w:cs="Cambria"/>
          <w:color w:val="000000" w:themeColor="text1"/>
        </w:rPr>
        <w:t>s 111 GHG Rules</w:t>
      </w:r>
      <w:r w:rsidRPr="12410F0B">
        <w:rPr>
          <w:rFonts w:eastAsia="Cambria" w:cs="Cambria"/>
          <w:color w:val="000000" w:themeColor="text1"/>
        </w:rPr>
        <w:t xml:space="preserve">, </w:t>
      </w:r>
      <w:r w:rsidRPr="2DBB73B1">
        <w:rPr>
          <w:rFonts w:eastAsia="Cambria" w:cs="Cambria"/>
          <w:color w:val="000000" w:themeColor="text1"/>
        </w:rPr>
        <w:t xml:space="preserve">beginning January 1, 2032, </w:t>
      </w:r>
      <w:r w:rsidRPr="12410F0B">
        <w:rPr>
          <w:rFonts w:eastAsia="Cambria" w:cs="Cambria"/>
          <w:color w:val="000000" w:themeColor="text1"/>
        </w:rPr>
        <w:t>new natural gas</w:t>
      </w:r>
      <w:r w:rsidR="003A57C8">
        <w:rPr>
          <w:rFonts w:eastAsia="Cambria" w:cs="Cambria"/>
          <w:color w:val="000000" w:themeColor="text1"/>
        </w:rPr>
        <w:t xml:space="preserve"> combined cycle</w:t>
      </w:r>
      <w:r w:rsidRPr="12410F0B">
        <w:rPr>
          <w:rFonts w:eastAsia="Cambria" w:cs="Cambria"/>
          <w:color w:val="000000" w:themeColor="text1"/>
        </w:rPr>
        <w:t xml:space="preserve"> </w:t>
      </w:r>
      <w:r w:rsidR="003A57C8">
        <w:rPr>
          <w:rFonts w:eastAsia="Cambria" w:cs="Cambria"/>
          <w:color w:val="000000" w:themeColor="text1"/>
        </w:rPr>
        <w:t>(“NG</w:t>
      </w:r>
      <w:r>
        <w:rPr>
          <w:rFonts w:eastAsia="Cambria" w:cs="Cambria"/>
          <w:color w:val="000000" w:themeColor="text1"/>
        </w:rPr>
        <w:t>CC</w:t>
      </w:r>
      <w:r w:rsidR="003A57C8">
        <w:rPr>
          <w:rFonts w:eastAsia="Cambria" w:cs="Cambria"/>
          <w:color w:val="000000" w:themeColor="text1"/>
        </w:rPr>
        <w:t>”)</w:t>
      </w:r>
      <w:r w:rsidRPr="12410F0B">
        <w:rPr>
          <w:rFonts w:eastAsia="Cambria" w:cs="Cambria"/>
          <w:color w:val="000000" w:themeColor="text1"/>
        </w:rPr>
        <w:t xml:space="preserve"> units must</w:t>
      </w:r>
      <w:r w:rsidRPr="2DBB73B1">
        <w:rPr>
          <w:rFonts w:eastAsia="Cambria" w:cs="Cambria"/>
          <w:color w:val="000000" w:themeColor="text1"/>
        </w:rPr>
        <w:t xml:space="preserve"> either capture and sequester</w:t>
      </w:r>
      <w:r w:rsidRPr="12410F0B">
        <w:rPr>
          <w:rFonts w:eastAsia="Cambria" w:cs="Cambria"/>
          <w:color w:val="000000" w:themeColor="text1"/>
        </w:rPr>
        <w:t xml:space="preserve"> </w:t>
      </w:r>
      <w:r w:rsidRPr="1472F7CB">
        <w:rPr>
          <w:rFonts w:eastAsia="Cambria" w:cs="Cambria"/>
          <w:color w:val="000000" w:themeColor="text1"/>
        </w:rPr>
        <w:t>at least 90% of their GHG emissions</w:t>
      </w:r>
      <w:r w:rsidRPr="000311FB">
        <w:rPr>
          <w:rFonts w:eastAsia="Cambria" w:cs="Cambria"/>
          <w:color w:val="000000" w:themeColor="text1"/>
        </w:rPr>
        <w:t xml:space="preserve"> </w:t>
      </w:r>
      <w:r w:rsidRPr="6334251D">
        <w:rPr>
          <w:rFonts w:eastAsia="Cambria" w:cs="Cambria"/>
          <w:color w:val="000000" w:themeColor="text1"/>
        </w:rPr>
        <w:t>or</w:t>
      </w:r>
      <w:r w:rsidRPr="003F7CF4">
        <w:rPr>
          <w:rFonts w:eastAsia="Cambria" w:cs="Cambria"/>
          <w:color w:val="000000" w:themeColor="text1"/>
        </w:rPr>
        <w:t xml:space="preserve"> operate </w:t>
      </w:r>
      <w:r w:rsidRPr="7F2DE2BB">
        <w:rPr>
          <w:rFonts w:eastAsia="Cambria" w:cs="Cambria"/>
          <w:color w:val="000000" w:themeColor="text1"/>
        </w:rPr>
        <w:t xml:space="preserve">with an annual average capacity factor of </w:t>
      </w:r>
      <w:r w:rsidRPr="003F7CF4">
        <w:rPr>
          <w:rFonts w:eastAsia="Cambria" w:cs="Cambria"/>
          <w:color w:val="000000" w:themeColor="text1"/>
        </w:rPr>
        <w:t>40%</w:t>
      </w:r>
      <w:r>
        <w:rPr>
          <w:rFonts w:eastAsia="Cambria" w:cs="Cambria"/>
          <w:color w:val="000000" w:themeColor="text1"/>
        </w:rPr>
        <w:t xml:space="preserve"> or less</w:t>
      </w:r>
      <w:r w:rsidRPr="003F7CF4">
        <w:rPr>
          <w:rFonts w:eastAsia="Cambria" w:cs="Cambria"/>
          <w:color w:val="000000" w:themeColor="text1"/>
        </w:rPr>
        <w:t xml:space="preserve">. </w:t>
      </w:r>
      <w:r w:rsidRPr="02966FE8">
        <w:rPr>
          <w:rFonts w:eastAsia="Cambria" w:cs="Cambria"/>
          <w:color w:val="000000" w:themeColor="text1"/>
        </w:rPr>
        <w:t>Existing c</w:t>
      </w:r>
      <w:r w:rsidRPr="000311FB">
        <w:rPr>
          <w:rFonts w:eastAsia="Cambria" w:cs="Cambria"/>
          <w:color w:val="000000" w:themeColor="text1"/>
        </w:rPr>
        <w:t>oal units</w:t>
      </w:r>
      <w:r w:rsidRPr="6334251D">
        <w:rPr>
          <w:rFonts w:eastAsia="Cambria" w:cs="Cambria"/>
          <w:color w:val="000000" w:themeColor="text1"/>
        </w:rPr>
        <w:t xml:space="preserve"> have three options</w:t>
      </w:r>
      <w:r w:rsidRPr="003F7CF4">
        <w:rPr>
          <w:rFonts w:eastAsia="Cambria" w:cs="Cambria"/>
          <w:color w:val="000000" w:themeColor="text1"/>
        </w:rPr>
        <w:t xml:space="preserve">: </w:t>
      </w:r>
      <w:r>
        <w:rPr>
          <w:rFonts w:eastAsia="Cambria" w:cs="Cambria"/>
          <w:color w:val="000000" w:themeColor="text1"/>
        </w:rPr>
        <w:t>(</w:t>
      </w:r>
      <w:r w:rsidRPr="00545998">
        <w:rPr>
          <w:rFonts w:eastAsia="Cambria" w:cs="Cambria"/>
          <w:color w:val="000000" w:themeColor="text1"/>
        </w:rPr>
        <w:t xml:space="preserve">1) retire by January 1, 2032; </w:t>
      </w:r>
      <w:r>
        <w:rPr>
          <w:rFonts w:eastAsia="Cambria" w:cs="Cambria"/>
          <w:color w:val="000000" w:themeColor="text1"/>
        </w:rPr>
        <w:t>(</w:t>
      </w:r>
      <w:r w:rsidRPr="00545998">
        <w:rPr>
          <w:rFonts w:eastAsia="Cambria" w:cs="Cambria"/>
          <w:color w:val="000000" w:themeColor="text1"/>
        </w:rPr>
        <w:t xml:space="preserve">2) </w:t>
      </w:r>
      <w:r w:rsidRPr="50B2CBE5">
        <w:rPr>
          <w:rFonts w:eastAsia="Cambria" w:cs="Cambria"/>
          <w:color w:val="000000" w:themeColor="text1"/>
        </w:rPr>
        <w:t>capture and sequester 90% of their GHG emissio</w:t>
      </w:r>
      <w:r>
        <w:rPr>
          <w:rFonts w:eastAsia="Cambria" w:cs="Cambria"/>
          <w:color w:val="000000" w:themeColor="text1"/>
        </w:rPr>
        <w:t>n</w:t>
      </w:r>
      <w:r w:rsidRPr="50B2CBE5">
        <w:rPr>
          <w:rFonts w:eastAsia="Cambria" w:cs="Cambria"/>
          <w:color w:val="000000" w:themeColor="text1"/>
        </w:rPr>
        <w:t>s beginning</w:t>
      </w:r>
      <w:r w:rsidRPr="00545998">
        <w:rPr>
          <w:rFonts w:eastAsia="Cambria" w:cs="Cambria"/>
          <w:color w:val="000000" w:themeColor="text1"/>
        </w:rPr>
        <w:t xml:space="preserve"> January 1, 2032; or </w:t>
      </w:r>
      <w:r>
        <w:rPr>
          <w:rFonts w:eastAsia="Cambria" w:cs="Cambria"/>
          <w:color w:val="000000" w:themeColor="text1"/>
        </w:rPr>
        <w:t>(</w:t>
      </w:r>
      <w:r w:rsidRPr="00C07A91">
        <w:rPr>
          <w:rFonts w:eastAsia="Cambria" w:cs="Cambria"/>
          <w:color w:val="000000" w:themeColor="text1"/>
        </w:rPr>
        <w:t xml:space="preserve">3) </w:t>
      </w:r>
      <w:r w:rsidRPr="50B2CBE5">
        <w:rPr>
          <w:rFonts w:eastAsia="Cambria" w:cs="Cambria"/>
          <w:color w:val="000000" w:themeColor="text1"/>
        </w:rPr>
        <w:t xml:space="preserve">generate at least </w:t>
      </w:r>
      <w:r w:rsidRPr="004E1AE3">
        <w:rPr>
          <w:rFonts w:eastAsia="Cambria" w:cs="Cambria"/>
          <w:color w:val="000000" w:themeColor="text1"/>
        </w:rPr>
        <w:t>40%</w:t>
      </w:r>
      <w:r w:rsidRPr="50B2CBE5">
        <w:rPr>
          <w:rFonts w:eastAsia="Cambria" w:cs="Cambria"/>
          <w:color w:val="000000" w:themeColor="text1"/>
        </w:rPr>
        <w:t xml:space="preserve"> of their </w:t>
      </w:r>
      <w:r w:rsidRPr="1B95F45D">
        <w:rPr>
          <w:rFonts w:eastAsia="Cambria" w:cs="Cambria"/>
          <w:color w:val="000000" w:themeColor="text1"/>
        </w:rPr>
        <w:t xml:space="preserve">energy using </w:t>
      </w:r>
      <w:r w:rsidRPr="003F7CF4">
        <w:rPr>
          <w:rFonts w:eastAsia="Cambria" w:cs="Cambria"/>
          <w:color w:val="000000" w:themeColor="text1"/>
        </w:rPr>
        <w:t xml:space="preserve">natural gas </w:t>
      </w:r>
      <w:r w:rsidRPr="1B95F45D">
        <w:rPr>
          <w:rFonts w:eastAsia="Cambria" w:cs="Cambria"/>
          <w:color w:val="000000" w:themeColor="text1"/>
        </w:rPr>
        <w:t xml:space="preserve">beginning </w:t>
      </w:r>
      <w:r w:rsidRPr="003F7CF4">
        <w:rPr>
          <w:rFonts w:eastAsia="Cambria" w:cs="Cambria"/>
          <w:color w:val="000000" w:themeColor="text1"/>
        </w:rPr>
        <w:t>January 1, 2030</w:t>
      </w:r>
      <w:r>
        <w:rPr>
          <w:rFonts w:eastAsia="Cambria" w:cs="Cambria"/>
          <w:color w:val="000000" w:themeColor="text1"/>
        </w:rPr>
        <w:t>,</w:t>
      </w:r>
      <w:r w:rsidRPr="003F7CF4">
        <w:rPr>
          <w:rFonts w:eastAsia="Cambria" w:cs="Cambria"/>
          <w:color w:val="000000" w:themeColor="text1"/>
        </w:rPr>
        <w:t xml:space="preserve"> and retire by January 1, 2039. </w:t>
      </w:r>
      <w:r>
        <w:rPr>
          <w:rFonts w:eastAsia="Cambria" w:cs="Cambria"/>
          <w:color w:val="000000" w:themeColor="text1"/>
        </w:rPr>
        <w:t xml:space="preserve">The Company’s </w:t>
      </w:r>
      <w:r w:rsidRPr="00545998">
        <w:rPr>
          <w:rFonts w:eastAsia="Cambria" w:cs="Cambria"/>
          <w:i/>
          <w:color w:val="000000" w:themeColor="text1"/>
        </w:rPr>
        <w:t>111</w:t>
      </w:r>
      <w:r>
        <w:rPr>
          <w:rFonts w:eastAsia="Cambria" w:cs="Cambria"/>
          <w:color w:val="000000" w:themeColor="text1"/>
        </w:rPr>
        <w:t xml:space="preserve"> view</w:t>
      </w:r>
      <w:r w:rsidR="007F5D34">
        <w:rPr>
          <w:rFonts w:eastAsia="Cambria" w:cs="Cambria"/>
          <w:color w:val="000000" w:themeColor="text1"/>
        </w:rPr>
        <w:t>s</w:t>
      </w:r>
      <w:r>
        <w:rPr>
          <w:rFonts w:eastAsia="Cambria" w:cs="Cambria"/>
          <w:color w:val="000000" w:themeColor="text1"/>
        </w:rPr>
        <w:t xml:space="preserve"> require compliance with the provisions of these rules.</w:t>
      </w:r>
    </w:p>
    <w:p w14:paraId="6B91FA2D" w14:textId="587F57AE" w:rsidR="007D5425" w:rsidRPr="00545998" w:rsidRDefault="007D5425" w:rsidP="007D5425">
      <w:pPr>
        <w:rPr>
          <w:rFonts w:eastAsia="Cambria" w:cs="Cambria"/>
          <w:color w:val="000000" w:themeColor="text1"/>
        </w:rPr>
      </w:pPr>
      <w:r>
        <w:rPr>
          <w:rFonts w:eastAsia="Cambria" w:cs="Cambria"/>
          <w:color w:val="000000" w:themeColor="text1"/>
        </w:rPr>
        <w:lastRenderedPageBreak/>
        <w:t>In addition to the 111 GHG Rule</w:t>
      </w:r>
      <w:r w:rsidR="00312422">
        <w:rPr>
          <w:rFonts w:eastAsia="Cambria" w:cs="Cambria"/>
          <w:color w:val="000000" w:themeColor="text1"/>
        </w:rPr>
        <w:t>s</w:t>
      </w:r>
      <w:r>
        <w:rPr>
          <w:rFonts w:eastAsia="Cambria" w:cs="Cambria"/>
          <w:color w:val="000000" w:themeColor="text1"/>
        </w:rPr>
        <w:t xml:space="preserve"> requirements, the Company’s </w:t>
      </w:r>
      <w:r w:rsidRPr="00545998">
        <w:rPr>
          <w:rFonts w:eastAsia="Cambria" w:cs="Cambria"/>
          <w:i/>
          <w:color w:val="000000" w:themeColor="text1"/>
        </w:rPr>
        <w:t>111 + Higher</w:t>
      </w:r>
      <w:r>
        <w:rPr>
          <w:rFonts w:eastAsia="Cambria" w:cs="Cambria"/>
          <w:color w:val="000000" w:themeColor="text1"/>
        </w:rPr>
        <w:t xml:space="preserve"> view of future GHG pressure imposes a higher degree of CO</w:t>
      </w:r>
      <w:r w:rsidRPr="00B832C1">
        <w:rPr>
          <w:rFonts w:eastAsia="Cambria" w:cs="Cambria"/>
          <w:color w:val="000000" w:themeColor="text1"/>
          <w:vertAlign w:val="subscript"/>
        </w:rPr>
        <w:t>2</w:t>
      </w:r>
      <w:r>
        <w:rPr>
          <w:rFonts w:eastAsia="Cambria" w:cs="Cambria"/>
          <w:color w:val="000000" w:themeColor="text1"/>
        </w:rPr>
        <w:t xml:space="preserve"> pressure in the form of a fee on GHG emission</w:t>
      </w:r>
      <w:r w:rsidR="00817EDE">
        <w:rPr>
          <w:rFonts w:eastAsia="Cambria" w:cs="Cambria"/>
          <w:color w:val="000000" w:themeColor="text1"/>
        </w:rPr>
        <w:t>s</w:t>
      </w:r>
      <w:r>
        <w:rPr>
          <w:rFonts w:eastAsia="Cambria" w:cs="Cambria"/>
          <w:color w:val="000000" w:themeColor="text1"/>
        </w:rPr>
        <w:t xml:space="preserve"> from the Company’s facilities. The fee begins in 2035 at $50 (2023$) per metric ton</w:t>
      </w:r>
      <w:r w:rsidR="00F539D9">
        <w:rPr>
          <w:rFonts w:eastAsia="Cambria" w:cs="Cambria"/>
          <w:color w:val="000000" w:themeColor="text1"/>
        </w:rPr>
        <w:t xml:space="preserve"> </w:t>
      </w:r>
      <w:r>
        <w:rPr>
          <w:rFonts w:eastAsia="Cambria" w:cs="Cambria"/>
          <w:color w:val="000000" w:themeColor="text1"/>
        </w:rPr>
        <w:t>of CO</w:t>
      </w:r>
      <w:r w:rsidRPr="00545998">
        <w:rPr>
          <w:rFonts w:eastAsia="Cambria" w:cs="Cambria"/>
          <w:color w:val="000000" w:themeColor="text1"/>
          <w:vertAlign w:val="subscript"/>
        </w:rPr>
        <w:t>2</w:t>
      </w:r>
      <w:r>
        <w:rPr>
          <w:rFonts w:eastAsia="Cambria" w:cs="Cambria"/>
          <w:color w:val="000000" w:themeColor="text1"/>
        </w:rPr>
        <w:t xml:space="preserve"> and rises at 7% above inflation through the modeling horizon. The fee is a proxy for various forms of</w:t>
      </w:r>
      <w:r w:rsidR="00DE45F0">
        <w:rPr>
          <w:rFonts w:eastAsia="Cambria" w:cs="Cambria"/>
          <w:color w:val="000000" w:themeColor="text1"/>
        </w:rPr>
        <w:t xml:space="preserve"> GHG</w:t>
      </w:r>
      <w:r>
        <w:rPr>
          <w:rFonts w:eastAsia="Cambria" w:cs="Cambria"/>
          <w:color w:val="000000" w:themeColor="text1"/>
        </w:rPr>
        <w:t xml:space="preserve"> pressure</w:t>
      </w:r>
      <w:r w:rsidR="00DE45F0">
        <w:rPr>
          <w:rFonts w:eastAsia="Cambria" w:cs="Cambria"/>
          <w:color w:val="000000" w:themeColor="text1"/>
        </w:rPr>
        <w:t>,</w:t>
      </w:r>
      <w:r>
        <w:rPr>
          <w:rFonts w:eastAsia="Cambria" w:cs="Cambria"/>
          <w:color w:val="000000" w:themeColor="text1"/>
        </w:rPr>
        <w:t xml:space="preserve"> including regulatory or legislative policy, or pressure from customers or investors.</w:t>
      </w:r>
    </w:p>
    <w:p w14:paraId="5A377AE5" w14:textId="7C014F03" w:rsidR="007D5425" w:rsidRPr="00303E0D" w:rsidRDefault="007D5425" w:rsidP="007D5425">
      <w:pPr>
        <w:rPr>
          <w:rFonts w:eastAsia="Cambria" w:cs="Cambria"/>
          <w:color w:val="000000" w:themeColor="text1"/>
        </w:rPr>
      </w:pPr>
      <w:r>
        <w:rPr>
          <w:rFonts w:eastAsia="Cambria" w:cs="Cambria"/>
          <w:color w:val="000000" w:themeColor="text1"/>
        </w:rPr>
        <w:t>In t</w:t>
      </w:r>
      <w:r w:rsidRPr="003F7CF4">
        <w:rPr>
          <w:rFonts w:eastAsia="Cambria" w:cs="Cambria"/>
          <w:color w:val="000000" w:themeColor="text1"/>
        </w:rPr>
        <w:t xml:space="preserve">he </w:t>
      </w:r>
      <w:r>
        <w:rPr>
          <w:rFonts w:eastAsia="Cambria" w:cs="Cambria"/>
          <w:color w:val="000000" w:themeColor="text1"/>
        </w:rPr>
        <w:t>C</w:t>
      </w:r>
      <w:r w:rsidRPr="00DD682F">
        <w:rPr>
          <w:rFonts w:eastAsia="Cambria" w:cs="Cambria"/>
          <w:color w:val="000000" w:themeColor="text1"/>
        </w:rPr>
        <w:t xml:space="preserve">ompany’s </w:t>
      </w:r>
      <w:r w:rsidRPr="00DD682F">
        <w:rPr>
          <w:rFonts w:eastAsia="Cambria" w:cs="Cambria"/>
          <w:i/>
          <w:color w:val="000000" w:themeColor="text1"/>
        </w:rPr>
        <w:t>Lower</w:t>
      </w:r>
      <w:r w:rsidRPr="00DD682F">
        <w:rPr>
          <w:rFonts w:eastAsia="Cambria" w:cs="Cambria"/>
          <w:color w:val="000000" w:themeColor="text1"/>
        </w:rPr>
        <w:t xml:space="preserve"> view</w:t>
      </w:r>
      <w:r>
        <w:rPr>
          <w:rFonts w:eastAsia="Cambria" w:cs="Cambria"/>
          <w:color w:val="000000" w:themeColor="text1"/>
        </w:rPr>
        <w:t>,</w:t>
      </w:r>
      <w:r w:rsidRPr="00DD682F">
        <w:rPr>
          <w:rFonts w:eastAsia="Cambria" w:cs="Cambria"/>
          <w:color w:val="000000" w:themeColor="text1"/>
        </w:rPr>
        <w:t xml:space="preserve"> </w:t>
      </w:r>
      <w:r>
        <w:rPr>
          <w:rFonts w:eastAsia="Cambria" w:cs="Cambria"/>
          <w:color w:val="000000" w:themeColor="text1"/>
        </w:rPr>
        <w:t xml:space="preserve">the 111 GHG Rules do not remain in effect. The </w:t>
      </w:r>
      <w:r w:rsidRPr="003D33D4">
        <w:rPr>
          <w:rFonts w:eastAsia="Cambria" w:cs="Cambria"/>
          <w:i/>
          <w:iCs/>
          <w:color w:val="000000" w:themeColor="text1"/>
        </w:rPr>
        <w:t>Lower</w:t>
      </w:r>
      <w:r>
        <w:rPr>
          <w:rFonts w:eastAsia="Cambria" w:cs="Cambria"/>
          <w:color w:val="000000" w:themeColor="text1"/>
        </w:rPr>
        <w:t xml:space="preserve"> view</w:t>
      </w:r>
      <w:r w:rsidRPr="00303E0D">
        <w:rPr>
          <w:rFonts w:eastAsia="Cambria" w:cs="Cambria"/>
          <w:color w:val="000000" w:themeColor="text1"/>
        </w:rPr>
        <w:t xml:space="preserve"> </w:t>
      </w:r>
      <w:r>
        <w:rPr>
          <w:rFonts w:eastAsia="Cambria" w:cs="Cambria"/>
          <w:color w:val="000000" w:themeColor="text1"/>
        </w:rPr>
        <w:t>assumes</w:t>
      </w:r>
      <w:r w:rsidRPr="00303E0D">
        <w:rPr>
          <w:rFonts w:eastAsia="Cambria" w:cs="Cambria"/>
          <w:color w:val="000000" w:themeColor="text1"/>
        </w:rPr>
        <w:t xml:space="preserve"> no </w:t>
      </w:r>
      <w:r>
        <w:rPr>
          <w:rFonts w:eastAsia="Cambria" w:cs="Cambria"/>
          <w:color w:val="000000" w:themeColor="text1"/>
        </w:rPr>
        <w:t>fee</w:t>
      </w:r>
      <w:r w:rsidRPr="003F7CF4">
        <w:rPr>
          <w:rFonts w:eastAsia="Cambria" w:cs="Cambria"/>
          <w:color w:val="000000" w:themeColor="text1"/>
        </w:rPr>
        <w:t xml:space="preserve"> on CO</w:t>
      </w:r>
      <w:r w:rsidRPr="003F7CF4">
        <w:rPr>
          <w:rFonts w:eastAsia="Cambria" w:cs="Cambria"/>
          <w:color w:val="000000" w:themeColor="text1"/>
          <w:vertAlign w:val="subscript"/>
        </w:rPr>
        <w:t>2</w:t>
      </w:r>
      <w:r w:rsidRPr="003F7CF4">
        <w:rPr>
          <w:rFonts w:eastAsia="Cambria" w:cs="Cambria"/>
          <w:color w:val="000000" w:themeColor="text1"/>
        </w:rPr>
        <w:t xml:space="preserve"> emissions but does require carbon capture at all new </w:t>
      </w:r>
      <w:r w:rsidR="003A57C8">
        <w:rPr>
          <w:rFonts w:eastAsia="Cambria" w:cs="Cambria"/>
          <w:color w:val="000000" w:themeColor="text1"/>
        </w:rPr>
        <w:t>NG</w:t>
      </w:r>
      <w:r>
        <w:rPr>
          <w:rFonts w:eastAsia="Cambria" w:cs="Cambria"/>
          <w:color w:val="000000" w:themeColor="text1"/>
        </w:rPr>
        <w:t>CC</w:t>
      </w:r>
      <w:r w:rsidRPr="003F7CF4">
        <w:rPr>
          <w:rFonts w:eastAsia="Cambria" w:cs="Cambria"/>
          <w:color w:val="000000" w:themeColor="text1"/>
        </w:rPr>
        <w:t xml:space="preserve"> units that become operational in 2040 and after. </w:t>
      </w:r>
      <w:r>
        <w:rPr>
          <w:rFonts w:eastAsia="Cambria" w:cs="Cambria"/>
          <w:color w:val="000000" w:themeColor="text1"/>
        </w:rPr>
        <w:t xml:space="preserve">The assumed carbon capture requirement </w:t>
      </w:r>
      <w:r w:rsidRPr="00DD682F">
        <w:rPr>
          <w:rFonts w:eastAsia="Cambria" w:cs="Cambria"/>
          <w:color w:val="000000" w:themeColor="text1"/>
        </w:rPr>
        <w:t xml:space="preserve">date </w:t>
      </w:r>
      <w:r>
        <w:rPr>
          <w:rFonts w:eastAsia="Cambria" w:cs="Cambria"/>
          <w:color w:val="000000" w:themeColor="text1"/>
        </w:rPr>
        <w:t>reflects uncertainty in the legal outcome of the existing rules</w:t>
      </w:r>
      <w:r w:rsidR="009E682A">
        <w:rPr>
          <w:rFonts w:eastAsia="Cambria" w:cs="Cambria"/>
          <w:color w:val="000000" w:themeColor="text1"/>
        </w:rPr>
        <w:t>,</w:t>
      </w:r>
      <w:r>
        <w:rPr>
          <w:rFonts w:eastAsia="Cambria" w:cs="Cambria"/>
          <w:color w:val="000000" w:themeColor="text1"/>
        </w:rPr>
        <w:t xml:space="preserve"> as well as the pace of technology advancement</w:t>
      </w:r>
      <w:r w:rsidR="009E682A">
        <w:rPr>
          <w:rFonts w:eastAsia="Cambria" w:cs="Cambria"/>
          <w:color w:val="000000" w:themeColor="text1"/>
        </w:rPr>
        <w:t>,</w:t>
      </w:r>
      <w:r>
        <w:rPr>
          <w:rFonts w:eastAsia="Cambria" w:cs="Cambria"/>
          <w:color w:val="000000" w:themeColor="text1"/>
        </w:rPr>
        <w:t xml:space="preserve"> but considers that EPA is required to review and potentially update the GHG emission standards on a regular basis</w:t>
      </w:r>
      <w:r w:rsidRPr="00303E0D">
        <w:rPr>
          <w:rFonts w:eastAsia="Cambria" w:cs="Cambria"/>
          <w:color w:val="000000" w:themeColor="text1"/>
        </w:rPr>
        <w:t>.</w:t>
      </w:r>
    </w:p>
    <w:p w14:paraId="1D72886C" w14:textId="7E011494" w:rsidR="007D5425" w:rsidRPr="00EF0244" w:rsidRDefault="007D5425" w:rsidP="007D5425">
      <w:pPr>
        <w:rPr>
          <w:rFonts w:eastAsia="Cambria" w:cs="Cambria"/>
          <w:color w:val="000000" w:themeColor="text1"/>
        </w:rPr>
      </w:pPr>
      <w:r w:rsidRPr="00303E0D">
        <w:rPr>
          <w:rFonts w:eastAsia="Cambria" w:cs="Cambria"/>
          <w:color w:val="000000" w:themeColor="text1"/>
        </w:rPr>
        <w:t xml:space="preserve">The </w:t>
      </w:r>
      <w:r>
        <w:rPr>
          <w:rFonts w:eastAsia="Cambria" w:cs="Cambria"/>
          <w:color w:val="000000" w:themeColor="text1"/>
        </w:rPr>
        <w:t>C</w:t>
      </w:r>
      <w:r w:rsidRPr="00EF0244">
        <w:rPr>
          <w:rFonts w:eastAsia="Cambria" w:cs="Cambria"/>
          <w:color w:val="000000" w:themeColor="text1"/>
        </w:rPr>
        <w:t xml:space="preserve">ompany’s </w:t>
      </w:r>
      <w:r w:rsidRPr="00EF0244">
        <w:rPr>
          <w:rFonts w:eastAsia="Cambria" w:cs="Cambria"/>
          <w:i/>
          <w:color w:val="000000" w:themeColor="text1"/>
        </w:rPr>
        <w:t>Moderate</w:t>
      </w:r>
      <w:r w:rsidRPr="00EF0244">
        <w:rPr>
          <w:rFonts w:eastAsia="Cambria" w:cs="Cambria"/>
          <w:color w:val="000000" w:themeColor="text1"/>
        </w:rPr>
        <w:t xml:space="preserve"> view</w:t>
      </w:r>
      <w:r>
        <w:rPr>
          <w:rFonts w:eastAsia="Cambria" w:cs="Cambria"/>
          <w:color w:val="000000" w:themeColor="text1"/>
        </w:rPr>
        <w:t xml:space="preserve"> adds to the </w:t>
      </w:r>
      <w:r w:rsidRPr="00EF0244">
        <w:rPr>
          <w:rFonts w:eastAsia="Cambria" w:cs="Cambria"/>
          <w:i/>
          <w:color w:val="000000" w:themeColor="text1"/>
        </w:rPr>
        <w:t>Lower</w:t>
      </w:r>
      <w:r w:rsidRPr="00EF0244">
        <w:rPr>
          <w:rFonts w:eastAsia="Cambria" w:cs="Cambria"/>
          <w:color w:val="000000" w:themeColor="text1"/>
        </w:rPr>
        <w:t xml:space="preserve"> view</w:t>
      </w:r>
      <w:r>
        <w:rPr>
          <w:rFonts w:eastAsia="Cambria" w:cs="Cambria"/>
          <w:color w:val="000000" w:themeColor="text1"/>
        </w:rPr>
        <w:t xml:space="preserve"> </w:t>
      </w:r>
      <w:r w:rsidRPr="00EF0244">
        <w:rPr>
          <w:rFonts w:eastAsia="Cambria" w:cs="Cambria"/>
          <w:color w:val="000000" w:themeColor="text1"/>
        </w:rPr>
        <w:t>a fee on CO</w:t>
      </w:r>
      <w:r w:rsidRPr="00EF0244">
        <w:rPr>
          <w:rFonts w:eastAsia="Cambria" w:cs="Cambria"/>
          <w:color w:val="000000" w:themeColor="text1"/>
          <w:vertAlign w:val="subscript"/>
        </w:rPr>
        <w:t>2</w:t>
      </w:r>
      <w:r w:rsidRPr="00EF0244">
        <w:rPr>
          <w:rFonts w:eastAsia="Cambria" w:cs="Cambria"/>
          <w:color w:val="000000" w:themeColor="text1"/>
        </w:rPr>
        <w:t xml:space="preserve"> emissions that begins in 2030 at $20 (2023$) per metric ton of CO</w:t>
      </w:r>
      <w:r w:rsidRPr="00EF0244">
        <w:rPr>
          <w:rFonts w:eastAsia="Cambria" w:cs="Cambria"/>
          <w:color w:val="000000" w:themeColor="text1"/>
          <w:vertAlign w:val="subscript"/>
        </w:rPr>
        <w:t>2</w:t>
      </w:r>
      <w:r w:rsidRPr="00EF0244">
        <w:rPr>
          <w:rFonts w:eastAsia="Cambria" w:cs="Cambria"/>
          <w:color w:val="000000" w:themeColor="text1"/>
        </w:rPr>
        <w:t xml:space="preserve"> and grows at 5% above inflation through the modeling horizon. This fee </w:t>
      </w:r>
      <w:r>
        <w:rPr>
          <w:rFonts w:eastAsia="Cambria" w:cs="Cambria"/>
          <w:color w:val="000000" w:themeColor="text1"/>
        </w:rPr>
        <w:t>is a proxy for various forms of pressure on the Company’s GHG emissions</w:t>
      </w:r>
      <w:r w:rsidR="00E9511E">
        <w:rPr>
          <w:rFonts w:eastAsia="Cambria" w:cs="Cambria"/>
          <w:color w:val="000000" w:themeColor="text1"/>
        </w:rPr>
        <w:t>,</w:t>
      </w:r>
      <w:r>
        <w:rPr>
          <w:rFonts w:eastAsia="Cambria" w:cs="Cambria"/>
          <w:color w:val="000000" w:themeColor="text1"/>
        </w:rPr>
        <w:t xml:space="preserve"> including regulatory or legislative policy, or pressure from customers or investors. </w:t>
      </w:r>
      <w:r w:rsidRPr="00EF0244">
        <w:rPr>
          <w:rFonts w:eastAsia="Cambria" w:cs="Cambria"/>
          <w:color w:val="000000" w:themeColor="text1"/>
        </w:rPr>
        <w:t xml:space="preserve">The </w:t>
      </w:r>
      <w:r>
        <w:rPr>
          <w:rFonts w:eastAsia="Cambria" w:cs="Cambria"/>
          <w:color w:val="000000" w:themeColor="text1"/>
        </w:rPr>
        <w:t xml:space="preserve">assumed 2030 </w:t>
      </w:r>
      <w:r w:rsidRPr="000311FB">
        <w:rPr>
          <w:rFonts w:eastAsia="Cambria" w:cs="Cambria"/>
          <w:color w:val="000000" w:themeColor="text1"/>
        </w:rPr>
        <w:t>start year is consistent with</w:t>
      </w:r>
      <w:r>
        <w:rPr>
          <w:rFonts w:eastAsia="Cambria" w:cs="Cambria"/>
          <w:color w:val="000000" w:themeColor="text1"/>
        </w:rPr>
        <w:t xml:space="preserve"> a projected compliance horizon for future regulation or legislation. In this view it is also assumed that c</w:t>
      </w:r>
      <w:r w:rsidRPr="00EF0244">
        <w:rPr>
          <w:rFonts w:eastAsia="Cambria" w:cs="Cambria"/>
          <w:color w:val="000000" w:themeColor="text1"/>
        </w:rPr>
        <w:t xml:space="preserve">arbon capture is required at all new </w:t>
      </w:r>
      <w:r w:rsidR="003A57C8">
        <w:rPr>
          <w:rFonts w:eastAsia="Cambria" w:cs="Cambria"/>
          <w:color w:val="000000" w:themeColor="text1"/>
        </w:rPr>
        <w:t>NG</w:t>
      </w:r>
      <w:r>
        <w:rPr>
          <w:rFonts w:eastAsia="Cambria" w:cs="Cambria"/>
          <w:color w:val="000000" w:themeColor="text1"/>
        </w:rPr>
        <w:t>CC</w:t>
      </w:r>
      <w:r w:rsidRPr="00EF0244">
        <w:rPr>
          <w:rFonts w:eastAsia="Cambria" w:cs="Cambria"/>
          <w:color w:val="000000" w:themeColor="text1"/>
        </w:rPr>
        <w:t xml:space="preserve"> units beginning in 203</w:t>
      </w:r>
      <w:r>
        <w:rPr>
          <w:rFonts w:eastAsia="Cambria" w:cs="Cambria"/>
          <w:color w:val="000000" w:themeColor="text1"/>
        </w:rPr>
        <w:t>7</w:t>
      </w:r>
      <w:r w:rsidRPr="00EF0244">
        <w:rPr>
          <w:rFonts w:eastAsia="Cambria" w:cs="Cambria"/>
          <w:color w:val="000000" w:themeColor="text1"/>
        </w:rPr>
        <w:t>. Th</w:t>
      </w:r>
      <w:r>
        <w:rPr>
          <w:rFonts w:eastAsia="Cambria" w:cs="Cambria"/>
          <w:color w:val="000000" w:themeColor="text1"/>
        </w:rPr>
        <w:t>ese</w:t>
      </w:r>
      <w:r w:rsidRPr="00303E0D">
        <w:rPr>
          <w:rFonts w:eastAsia="Cambria" w:cs="Cambria"/>
          <w:color w:val="000000" w:themeColor="text1"/>
        </w:rPr>
        <w:t xml:space="preserve"> date</w:t>
      </w:r>
      <w:r>
        <w:rPr>
          <w:rFonts w:eastAsia="Cambria" w:cs="Cambria"/>
          <w:color w:val="000000" w:themeColor="text1"/>
        </w:rPr>
        <w:t xml:space="preserve">s are </w:t>
      </w:r>
      <w:r w:rsidRPr="00EF0244">
        <w:rPr>
          <w:rFonts w:eastAsia="Cambria" w:cs="Cambria"/>
          <w:color w:val="000000" w:themeColor="text1"/>
        </w:rPr>
        <w:t xml:space="preserve">uncertain but </w:t>
      </w:r>
      <w:r>
        <w:rPr>
          <w:rFonts w:eastAsia="Cambria" w:cs="Cambria"/>
          <w:color w:val="000000" w:themeColor="text1"/>
        </w:rPr>
        <w:t xml:space="preserve">reflect potential outcomes from future policies and/or </w:t>
      </w:r>
      <w:r w:rsidRPr="00EF0244">
        <w:rPr>
          <w:rFonts w:eastAsia="Cambria" w:cs="Cambria"/>
          <w:color w:val="000000" w:themeColor="text1"/>
        </w:rPr>
        <w:t>reviews required under the Clean Air Act.</w:t>
      </w:r>
    </w:p>
    <w:p w14:paraId="4DE859EC" w14:textId="5D449616" w:rsidR="007D5425" w:rsidRDefault="007D5425" w:rsidP="007D5425">
      <w:pPr>
        <w:rPr>
          <w:rFonts w:eastAsia="Cambria" w:cs="Cambria"/>
          <w:color w:val="000000" w:themeColor="text1"/>
        </w:rPr>
      </w:pPr>
      <w:r w:rsidRPr="006F63B3">
        <w:rPr>
          <w:rFonts w:eastAsia="Cambria" w:cs="Cambria"/>
          <w:color w:val="000000" w:themeColor="text1"/>
        </w:rPr>
        <w:t xml:space="preserve">The </w:t>
      </w:r>
      <w:r>
        <w:rPr>
          <w:rFonts w:eastAsia="Cambria" w:cs="Cambria"/>
          <w:color w:val="000000" w:themeColor="text1"/>
        </w:rPr>
        <w:t>C</w:t>
      </w:r>
      <w:r w:rsidRPr="006F63B3">
        <w:rPr>
          <w:rFonts w:eastAsia="Cambria" w:cs="Cambria"/>
          <w:color w:val="000000" w:themeColor="text1"/>
        </w:rPr>
        <w:t xml:space="preserve">ompany’s </w:t>
      </w:r>
      <w:r w:rsidRPr="000311FB">
        <w:rPr>
          <w:rFonts w:eastAsia="Cambria" w:cs="Cambria"/>
          <w:i/>
          <w:color w:val="000000" w:themeColor="text1"/>
        </w:rPr>
        <w:t>Higher</w:t>
      </w:r>
      <w:r w:rsidRPr="006F63B3">
        <w:rPr>
          <w:rFonts w:eastAsia="Cambria" w:cs="Cambria"/>
          <w:color w:val="000000" w:themeColor="text1"/>
        </w:rPr>
        <w:t xml:space="preserve"> view</w:t>
      </w:r>
      <w:r>
        <w:rPr>
          <w:rFonts w:eastAsia="Cambria" w:cs="Cambria"/>
          <w:color w:val="000000" w:themeColor="text1"/>
        </w:rPr>
        <w:t xml:space="preserve"> builds on</w:t>
      </w:r>
      <w:r w:rsidRPr="006F63B3">
        <w:rPr>
          <w:rFonts w:eastAsia="Cambria" w:cs="Cambria"/>
          <w:color w:val="000000" w:themeColor="text1"/>
        </w:rPr>
        <w:t xml:space="preserve"> the requirements of the </w:t>
      </w:r>
      <w:r w:rsidRPr="003D33D4">
        <w:rPr>
          <w:rFonts w:eastAsia="Cambria" w:cs="Cambria"/>
          <w:i/>
          <w:iCs/>
          <w:color w:val="000000" w:themeColor="text1"/>
        </w:rPr>
        <w:t>Lower</w:t>
      </w:r>
      <w:r>
        <w:rPr>
          <w:rFonts w:eastAsia="Cambria" w:cs="Cambria"/>
          <w:color w:val="000000" w:themeColor="text1"/>
        </w:rPr>
        <w:t xml:space="preserve"> and </w:t>
      </w:r>
      <w:r w:rsidRPr="003D33D4">
        <w:rPr>
          <w:rFonts w:eastAsia="Cambria" w:cs="Cambria"/>
          <w:i/>
          <w:iCs/>
          <w:color w:val="000000" w:themeColor="text1"/>
        </w:rPr>
        <w:t>Moderate</w:t>
      </w:r>
      <w:r w:rsidRPr="006F63B3">
        <w:rPr>
          <w:rFonts w:eastAsia="Cambria" w:cs="Cambria"/>
          <w:color w:val="000000" w:themeColor="text1"/>
        </w:rPr>
        <w:t xml:space="preserve"> view</w:t>
      </w:r>
      <w:r>
        <w:rPr>
          <w:rFonts w:eastAsia="Cambria" w:cs="Cambria"/>
          <w:color w:val="000000" w:themeColor="text1"/>
        </w:rPr>
        <w:t>s and</w:t>
      </w:r>
      <w:r w:rsidRPr="006F63B3">
        <w:rPr>
          <w:rFonts w:eastAsia="Cambria" w:cs="Cambria"/>
          <w:color w:val="000000" w:themeColor="text1"/>
        </w:rPr>
        <w:t xml:space="preserve"> adopts a fee on CO</w:t>
      </w:r>
      <w:r w:rsidRPr="006F63B3">
        <w:rPr>
          <w:rFonts w:eastAsia="Cambria" w:cs="Cambria"/>
          <w:color w:val="000000" w:themeColor="text1"/>
          <w:vertAlign w:val="subscript"/>
        </w:rPr>
        <w:t>2</w:t>
      </w:r>
      <w:r w:rsidRPr="006F63B3">
        <w:rPr>
          <w:rFonts w:eastAsia="Cambria" w:cs="Cambria"/>
          <w:color w:val="000000" w:themeColor="text1"/>
        </w:rPr>
        <w:t xml:space="preserve"> emissions that begins in 2030 at $50 (2023$) per metric ton of CO</w:t>
      </w:r>
      <w:r w:rsidRPr="006F63B3">
        <w:rPr>
          <w:rFonts w:eastAsia="Cambria" w:cs="Cambria"/>
          <w:color w:val="000000" w:themeColor="text1"/>
          <w:vertAlign w:val="subscript"/>
        </w:rPr>
        <w:t>2</w:t>
      </w:r>
      <w:r w:rsidRPr="006F63B3">
        <w:rPr>
          <w:rFonts w:eastAsia="Cambria" w:cs="Cambria"/>
          <w:color w:val="000000" w:themeColor="text1"/>
        </w:rPr>
        <w:t xml:space="preserve"> </w:t>
      </w:r>
      <w:r>
        <w:rPr>
          <w:rFonts w:eastAsia="Cambria" w:cs="Cambria"/>
          <w:color w:val="000000" w:themeColor="text1"/>
        </w:rPr>
        <w:t>that</w:t>
      </w:r>
      <w:r w:rsidRPr="006F63B3">
        <w:rPr>
          <w:rFonts w:eastAsia="Cambria" w:cs="Cambria"/>
          <w:color w:val="000000" w:themeColor="text1"/>
        </w:rPr>
        <w:t xml:space="preserve"> grows at 7% above inflation through the modeling horizon</w:t>
      </w:r>
      <w:r>
        <w:rPr>
          <w:rFonts w:eastAsia="Cambria" w:cs="Cambria"/>
          <w:color w:val="000000" w:themeColor="text1"/>
        </w:rPr>
        <w:t xml:space="preserve">. </w:t>
      </w:r>
      <w:r w:rsidRPr="00C95EE9">
        <w:rPr>
          <w:rFonts w:eastAsia="Cambria" w:cs="Cambria"/>
          <w:color w:val="000000" w:themeColor="text1"/>
        </w:rPr>
        <w:t xml:space="preserve">The </w:t>
      </w:r>
      <w:r>
        <w:rPr>
          <w:rFonts w:eastAsia="Cambria" w:cs="Cambria"/>
          <w:color w:val="000000" w:themeColor="text1"/>
        </w:rPr>
        <w:t xml:space="preserve">assumed 2030 </w:t>
      </w:r>
      <w:r w:rsidRPr="00C95EE9">
        <w:rPr>
          <w:rFonts w:eastAsia="Cambria" w:cs="Cambria"/>
          <w:color w:val="000000" w:themeColor="text1"/>
        </w:rPr>
        <w:t>start year is consistent with</w:t>
      </w:r>
      <w:r>
        <w:rPr>
          <w:rFonts w:eastAsia="Cambria" w:cs="Cambria"/>
          <w:color w:val="000000" w:themeColor="text1"/>
        </w:rPr>
        <w:t xml:space="preserve"> a projected compliance horizon for future regulation or legislation </w:t>
      </w:r>
      <w:r w:rsidDel="00A404DF">
        <w:rPr>
          <w:rFonts w:eastAsia="Cambria" w:cs="Cambria"/>
          <w:color w:val="000000" w:themeColor="text1"/>
        </w:rPr>
        <w:t xml:space="preserve">and </w:t>
      </w:r>
      <w:r>
        <w:rPr>
          <w:rFonts w:eastAsia="Cambria" w:cs="Cambria"/>
          <w:color w:val="000000" w:themeColor="text1"/>
        </w:rPr>
        <w:t>assumes c</w:t>
      </w:r>
      <w:r w:rsidRPr="00C95EE9">
        <w:rPr>
          <w:rFonts w:eastAsia="Cambria" w:cs="Cambria"/>
          <w:color w:val="000000" w:themeColor="text1"/>
        </w:rPr>
        <w:t xml:space="preserve">arbon capture is required at all new </w:t>
      </w:r>
      <w:r w:rsidR="003A57C8">
        <w:rPr>
          <w:rFonts w:eastAsia="Cambria" w:cs="Cambria"/>
          <w:color w:val="000000" w:themeColor="text1"/>
        </w:rPr>
        <w:t>NG</w:t>
      </w:r>
      <w:r>
        <w:rPr>
          <w:rFonts w:eastAsia="Cambria" w:cs="Cambria"/>
          <w:color w:val="000000" w:themeColor="text1"/>
        </w:rPr>
        <w:t>CC</w:t>
      </w:r>
      <w:r w:rsidRPr="00C95EE9">
        <w:rPr>
          <w:rFonts w:eastAsia="Cambria" w:cs="Cambria"/>
          <w:color w:val="000000" w:themeColor="text1"/>
        </w:rPr>
        <w:t xml:space="preserve"> units beginning in 203</w:t>
      </w:r>
      <w:r>
        <w:rPr>
          <w:rFonts w:eastAsia="Cambria" w:cs="Cambria"/>
          <w:color w:val="000000" w:themeColor="text1"/>
        </w:rPr>
        <w:t>7</w:t>
      </w:r>
      <w:r w:rsidRPr="00C95EE9">
        <w:rPr>
          <w:rFonts w:eastAsia="Cambria" w:cs="Cambria"/>
          <w:color w:val="000000" w:themeColor="text1"/>
        </w:rPr>
        <w:t>.</w:t>
      </w:r>
    </w:p>
    <w:p w14:paraId="641826BE" w14:textId="77777777" w:rsidR="00972BFC" w:rsidRDefault="00972BFC" w:rsidP="00972BFC">
      <w:pPr>
        <w:rPr>
          <w:rFonts w:eastAsia="Cambria" w:cs="Cambria"/>
          <w:color w:val="000000" w:themeColor="text1"/>
        </w:rPr>
      </w:pPr>
      <w:r w:rsidRPr="00EF0244">
        <w:rPr>
          <w:rFonts w:eastAsia="Cambria" w:cs="Cambria"/>
          <w:color w:val="000000" w:themeColor="text1"/>
        </w:rPr>
        <w:t xml:space="preserve">These views are illustrated in Figure </w:t>
      </w:r>
      <w:r>
        <w:rPr>
          <w:rFonts w:eastAsia="Cambria" w:cs="Cambria"/>
          <w:color w:val="000000" w:themeColor="text1"/>
        </w:rPr>
        <w:t>3.</w:t>
      </w:r>
    </w:p>
    <w:p w14:paraId="1AACC871" w14:textId="77777777" w:rsidR="000A5975" w:rsidRDefault="000A5975" w:rsidP="000A5975">
      <w:pPr>
        <w:pStyle w:val="Caption"/>
      </w:pPr>
      <w:r>
        <w:lastRenderedPageBreak/>
        <w:t xml:space="preserve">Figure </w:t>
      </w:r>
      <w:r>
        <w:fldChar w:fldCharType="begin"/>
      </w:r>
      <w:r>
        <w:instrText xml:space="preserve"> SEQ Figure \* ARABIC </w:instrText>
      </w:r>
      <w:r>
        <w:fldChar w:fldCharType="separate"/>
      </w:r>
      <w:r>
        <w:rPr>
          <w:noProof/>
        </w:rPr>
        <w:t>3</w:t>
      </w:r>
      <w:r>
        <w:rPr>
          <w:noProof/>
        </w:rPr>
        <w:fldChar w:fldCharType="end"/>
      </w:r>
      <w:r>
        <w:t>: Views of future pressure on CO</w:t>
      </w:r>
      <w:r w:rsidRPr="00764171">
        <w:rPr>
          <w:vertAlign w:val="subscript"/>
        </w:rPr>
        <w:t>2</w:t>
      </w:r>
      <w:r>
        <w:t xml:space="preserve"> emissions</w:t>
      </w:r>
    </w:p>
    <w:p w14:paraId="719265CC" w14:textId="77777777" w:rsidR="000A5975" w:rsidRDefault="000A5975" w:rsidP="000A5975">
      <w:pPr>
        <w:keepNext/>
        <w:jc w:val="center"/>
      </w:pPr>
      <w:r>
        <w:rPr>
          <w:noProof/>
        </w:rPr>
        <w:drawing>
          <wp:inline distT="0" distB="0" distL="0" distR="0" wp14:anchorId="18583FA5" wp14:editId="0C8E4C3A">
            <wp:extent cx="5867798" cy="3520678"/>
            <wp:effectExtent l="0" t="0" r="0" b="0"/>
            <wp:docPr id="1936884357" name="Picture 1936884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5867798" cy="3520678"/>
                    </a:xfrm>
                    <a:prstGeom prst="rect">
                      <a:avLst/>
                    </a:prstGeom>
                  </pic:spPr>
                </pic:pic>
              </a:graphicData>
            </a:graphic>
          </wp:inline>
        </w:drawing>
      </w:r>
    </w:p>
    <w:p w14:paraId="65CE7F89" w14:textId="0453CD30" w:rsidR="007D5425" w:rsidRPr="00EF0244" w:rsidRDefault="00E90704" w:rsidP="007D5425">
      <w:pPr>
        <w:rPr>
          <w:rFonts w:eastAsia="Cambria" w:cs="Cambria"/>
          <w:color w:val="000000" w:themeColor="text1"/>
        </w:rPr>
      </w:pPr>
      <w:r>
        <w:rPr>
          <w:rFonts w:eastAsia="Cambria" w:cs="Cambria"/>
          <w:color w:val="000000" w:themeColor="text1"/>
        </w:rPr>
        <w:t>Finally, t</w:t>
      </w:r>
      <w:r w:rsidR="007D5425" w:rsidRPr="00EF0244">
        <w:rPr>
          <w:rFonts w:eastAsia="Cambria" w:cs="Cambria"/>
          <w:color w:val="000000" w:themeColor="text1"/>
        </w:rPr>
        <w:t xml:space="preserve">he </w:t>
      </w:r>
      <w:r w:rsidR="007D5425">
        <w:rPr>
          <w:rFonts w:eastAsia="Cambria" w:cs="Cambria"/>
          <w:color w:val="000000" w:themeColor="text1"/>
        </w:rPr>
        <w:t>C</w:t>
      </w:r>
      <w:r w:rsidR="007D5425" w:rsidRPr="00EF0244">
        <w:rPr>
          <w:rFonts w:eastAsia="Cambria" w:cs="Cambria"/>
          <w:color w:val="000000" w:themeColor="text1"/>
        </w:rPr>
        <w:t>ompany’s CO</w:t>
      </w:r>
      <w:r w:rsidR="007D5425" w:rsidRPr="00EF0244">
        <w:rPr>
          <w:rFonts w:eastAsia="Cambria" w:cs="Cambria"/>
          <w:color w:val="000000" w:themeColor="text1"/>
          <w:vertAlign w:val="subscript"/>
        </w:rPr>
        <w:t>2</w:t>
      </w:r>
      <w:r w:rsidR="007D5425" w:rsidRPr="00EF0244">
        <w:rPr>
          <w:rFonts w:eastAsia="Cambria" w:cs="Cambria"/>
          <w:color w:val="000000" w:themeColor="text1"/>
        </w:rPr>
        <w:t xml:space="preserve"> </w:t>
      </w:r>
      <w:r w:rsidR="007D5425" w:rsidRPr="00EF0244">
        <w:rPr>
          <w:rFonts w:eastAsia="Cambria" w:cs="Cambria"/>
          <w:i/>
          <w:color w:val="000000" w:themeColor="text1"/>
        </w:rPr>
        <w:t>Emissions Limit</w:t>
      </w:r>
      <w:r w:rsidR="007D5425" w:rsidRPr="00EF0244">
        <w:rPr>
          <w:rFonts w:eastAsia="Cambria" w:cs="Cambria"/>
          <w:color w:val="000000" w:themeColor="text1"/>
        </w:rPr>
        <w:t xml:space="preserve"> view imposes a requirement that the </w:t>
      </w:r>
      <w:r w:rsidR="007D5425">
        <w:rPr>
          <w:rFonts w:eastAsia="Cambria" w:cs="Cambria"/>
          <w:color w:val="000000" w:themeColor="text1"/>
        </w:rPr>
        <w:t>C</w:t>
      </w:r>
      <w:r w:rsidR="007D5425" w:rsidRPr="00EF0244">
        <w:rPr>
          <w:rFonts w:eastAsia="Cambria" w:cs="Cambria"/>
          <w:color w:val="000000" w:themeColor="text1"/>
        </w:rPr>
        <w:t>ompany’s annual aggregate CO</w:t>
      </w:r>
      <w:r w:rsidR="007D5425" w:rsidRPr="00EF0244">
        <w:rPr>
          <w:rFonts w:eastAsia="Cambria" w:cs="Cambria"/>
          <w:color w:val="000000" w:themeColor="text1"/>
          <w:vertAlign w:val="subscript"/>
        </w:rPr>
        <w:t>2</w:t>
      </w:r>
      <w:r w:rsidR="007D5425" w:rsidRPr="00EF0244">
        <w:rPr>
          <w:rFonts w:eastAsia="Cambria" w:cs="Cambria"/>
          <w:color w:val="000000" w:themeColor="text1"/>
        </w:rPr>
        <w:t xml:space="preserve"> emissions </w:t>
      </w:r>
      <w:r w:rsidR="00805CC3">
        <w:rPr>
          <w:rFonts w:eastAsia="Cambria" w:cs="Cambria"/>
          <w:color w:val="000000" w:themeColor="text1"/>
        </w:rPr>
        <w:t xml:space="preserve">in </w:t>
      </w:r>
      <w:r w:rsidR="00805CC3" w:rsidRPr="00EF0244">
        <w:rPr>
          <w:rFonts w:eastAsia="Cambria" w:cs="Cambria"/>
          <w:color w:val="000000" w:themeColor="text1"/>
        </w:rPr>
        <w:t>2050</w:t>
      </w:r>
      <w:r w:rsidR="00805CC3">
        <w:rPr>
          <w:rFonts w:eastAsia="Cambria" w:cs="Cambria"/>
          <w:color w:val="000000" w:themeColor="text1"/>
        </w:rPr>
        <w:t xml:space="preserve"> </w:t>
      </w:r>
      <w:r w:rsidR="006A7DD2">
        <w:rPr>
          <w:rFonts w:eastAsia="Cambria" w:cs="Cambria"/>
          <w:color w:val="000000" w:themeColor="text1"/>
        </w:rPr>
        <w:t xml:space="preserve">are reduced </w:t>
      </w:r>
      <w:r w:rsidR="007D5425" w:rsidRPr="00EF0244">
        <w:rPr>
          <w:rFonts w:eastAsia="Cambria" w:cs="Cambria"/>
          <w:color w:val="000000" w:themeColor="text1"/>
        </w:rPr>
        <w:t>by</w:t>
      </w:r>
      <w:r w:rsidR="00EE5426">
        <w:rPr>
          <w:rFonts w:eastAsia="Cambria" w:cs="Cambria"/>
          <w:color w:val="000000" w:themeColor="text1"/>
        </w:rPr>
        <w:t xml:space="preserve"> about 95% r</w:t>
      </w:r>
      <w:r w:rsidR="007D5425" w:rsidRPr="00EF0244">
        <w:rPr>
          <w:rFonts w:eastAsia="Cambria" w:cs="Cambria"/>
          <w:color w:val="000000" w:themeColor="text1"/>
        </w:rPr>
        <w:t>elative to 2007 emissions</w:t>
      </w:r>
      <w:r w:rsidR="00EE5426">
        <w:rPr>
          <w:rFonts w:eastAsia="Cambria" w:cs="Cambria"/>
          <w:color w:val="000000" w:themeColor="text1"/>
        </w:rPr>
        <w:t>.</w:t>
      </w:r>
      <w:r w:rsidR="007D5425">
        <w:rPr>
          <w:rFonts w:eastAsia="Cambria" w:cs="Cambria"/>
          <w:color w:val="000000" w:themeColor="text1"/>
        </w:rPr>
        <w:t xml:space="preserve"> </w:t>
      </w:r>
      <w:r w:rsidR="007D5425" w:rsidRPr="00EF0244">
        <w:rPr>
          <w:rFonts w:eastAsia="Cambria" w:cs="Cambria"/>
          <w:color w:val="000000" w:themeColor="text1"/>
        </w:rPr>
        <w:t>This view is implemented in the</w:t>
      </w:r>
      <w:r w:rsidR="007D5425">
        <w:rPr>
          <w:rFonts w:eastAsia="Cambria" w:cs="Cambria"/>
          <w:color w:val="000000" w:themeColor="text1"/>
        </w:rPr>
        <w:t xml:space="preserve"> Company’s</w:t>
      </w:r>
      <w:r w:rsidR="007D5425" w:rsidRPr="00EF0244">
        <w:rPr>
          <w:rFonts w:eastAsia="Cambria" w:cs="Cambria"/>
          <w:color w:val="000000" w:themeColor="text1"/>
        </w:rPr>
        <w:t xml:space="preserve"> Aurora</w:t>
      </w:r>
      <w:r w:rsidR="007D5425">
        <w:rPr>
          <w:rFonts w:eastAsia="Cambria" w:cs="Cambria"/>
          <w:color w:val="000000" w:themeColor="text1"/>
        </w:rPr>
        <w:t xml:space="preserve"> </w:t>
      </w:r>
      <w:r w:rsidR="00822E80">
        <w:rPr>
          <w:rFonts w:eastAsia="Cambria" w:cs="Cambria"/>
          <w:color w:val="000000" w:themeColor="text1"/>
        </w:rPr>
        <w:t>e</w:t>
      </w:r>
      <w:r w:rsidR="007D5425">
        <w:rPr>
          <w:rFonts w:eastAsia="Cambria" w:cs="Cambria"/>
          <w:color w:val="000000" w:themeColor="text1"/>
        </w:rPr>
        <w:t xml:space="preserve">xpansion </w:t>
      </w:r>
      <w:r w:rsidR="00822E80">
        <w:rPr>
          <w:rFonts w:eastAsia="Cambria" w:cs="Cambria"/>
          <w:color w:val="000000" w:themeColor="text1"/>
        </w:rPr>
        <w:t>p</w:t>
      </w:r>
      <w:r w:rsidR="007D5425">
        <w:rPr>
          <w:rFonts w:eastAsia="Cambria" w:cs="Cambria"/>
          <w:color w:val="000000" w:themeColor="text1"/>
        </w:rPr>
        <w:t>lan</w:t>
      </w:r>
      <w:r w:rsidR="007D5425" w:rsidRPr="00545998">
        <w:rPr>
          <w:rFonts w:eastAsia="Cambria" w:cs="Cambria"/>
          <w:color w:val="000000" w:themeColor="text1"/>
        </w:rPr>
        <w:t xml:space="preserve"> modeling </w:t>
      </w:r>
      <w:r w:rsidR="00972BFC">
        <w:rPr>
          <w:rFonts w:eastAsia="Cambria" w:cs="Cambria"/>
          <w:color w:val="000000" w:themeColor="text1"/>
        </w:rPr>
        <w:t>through</w:t>
      </w:r>
      <w:r w:rsidR="007D5425" w:rsidRPr="00545998">
        <w:rPr>
          <w:rFonts w:eastAsia="Cambria" w:cs="Cambria"/>
          <w:color w:val="000000" w:themeColor="text1"/>
        </w:rPr>
        <w:t xml:space="preserve"> </w:t>
      </w:r>
      <w:r w:rsidR="00CE13CB">
        <w:rPr>
          <w:rFonts w:eastAsia="Cambria" w:cs="Cambria"/>
          <w:color w:val="000000" w:themeColor="text1"/>
        </w:rPr>
        <w:t xml:space="preserve">an </w:t>
      </w:r>
      <w:r w:rsidR="005432B5">
        <w:rPr>
          <w:rFonts w:eastAsia="Cambria" w:cs="Cambria"/>
          <w:color w:val="000000" w:themeColor="text1"/>
        </w:rPr>
        <w:t>iterative pro</w:t>
      </w:r>
      <w:r w:rsidR="00CE116D">
        <w:rPr>
          <w:rFonts w:eastAsia="Cambria" w:cs="Cambria"/>
          <w:color w:val="000000" w:themeColor="text1"/>
        </w:rPr>
        <w:t>cess</w:t>
      </w:r>
      <w:r w:rsidR="00A524E1">
        <w:rPr>
          <w:rFonts w:eastAsia="Cambria" w:cs="Cambria"/>
          <w:color w:val="000000" w:themeColor="text1"/>
        </w:rPr>
        <w:t>, applying a price on CO</w:t>
      </w:r>
      <w:r w:rsidR="00A524E1">
        <w:rPr>
          <w:rFonts w:eastAsia="Cambria" w:cs="Cambria"/>
          <w:color w:val="000000" w:themeColor="text1"/>
          <w:vertAlign w:val="subscript"/>
        </w:rPr>
        <w:t>2</w:t>
      </w:r>
      <w:r w:rsidR="00A524E1">
        <w:rPr>
          <w:rFonts w:eastAsia="Cambria" w:cs="Cambria"/>
          <w:color w:val="000000" w:themeColor="text1"/>
        </w:rPr>
        <w:t xml:space="preserve"> emissions</w:t>
      </w:r>
      <w:r w:rsidR="00CE116D">
        <w:rPr>
          <w:rFonts w:eastAsia="Cambria" w:cs="Cambria"/>
          <w:color w:val="000000" w:themeColor="text1"/>
        </w:rPr>
        <w:t xml:space="preserve"> that</w:t>
      </w:r>
      <w:r w:rsidR="007D5425" w:rsidRPr="00545998">
        <w:rPr>
          <w:rFonts w:eastAsia="Cambria" w:cs="Cambria"/>
          <w:color w:val="000000" w:themeColor="text1"/>
        </w:rPr>
        <w:t xml:space="preserve"> </w:t>
      </w:r>
      <w:r w:rsidR="00CE116D">
        <w:rPr>
          <w:rFonts w:eastAsia="Cambria" w:cs="Cambria"/>
          <w:color w:val="000000" w:themeColor="text1"/>
        </w:rPr>
        <w:t xml:space="preserve">achieves </w:t>
      </w:r>
      <w:r w:rsidR="007D5425" w:rsidRPr="00EF0244">
        <w:rPr>
          <w:rFonts w:eastAsia="Cambria" w:cs="Cambria"/>
          <w:color w:val="000000" w:themeColor="text1"/>
        </w:rPr>
        <w:t>the</w:t>
      </w:r>
      <w:r w:rsidR="00D8054D">
        <w:rPr>
          <w:rFonts w:eastAsia="Cambria" w:cs="Cambria"/>
          <w:color w:val="000000" w:themeColor="text1"/>
        </w:rPr>
        <w:t xml:space="preserve"> 2050</w:t>
      </w:r>
      <w:r w:rsidR="007D5425" w:rsidRPr="00EF0244">
        <w:rPr>
          <w:rFonts w:eastAsia="Cambria" w:cs="Cambria"/>
          <w:color w:val="000000" w:themeColor="text1"/>
        </w:rPr>
        <w:t xml:space="preserve"> emissions limit</w:t>
      </w:r>
      <w:r w:rsidR="00CE116D">
        <w:rPr>
          <w:rFonts w:eastAsia="Cambria" w:cs="Cambria"/>
          <w:color w:val="000000" w:themeColor="text1"/>
        </w:rPr>
        <w:t xml:space="preserve"> target</w:t>
      </w:r>
      <w:r w:rsidR="007D5425" w:rsidRPr="00EF0244">
        <w:rPr>
          <w:rFonts w:eastAsia="Cambria" w:cs="Cambria"/>
          <w:color w:val="000000" w:themeColor="text1"/>
        </w:rPr>
        <w:t>.</w:t>
      </w:r>
    </w:p>
    <w:p w14:paraId="77BBA4AD" w14:textId="6E6F8E5F" w:rsidR="00764171" w:rsidRDefault="006962F4" w:rsidP="00D86E63">
      <w:pPr>
        <w:pStyle w:val="Heading3"/>
      </w:pPr>
      <w:bookmarkStart w:id="5" w:name="_Toc188405620"/>
      <w:r>
        <w:t xml:space="preserve">2.2.2 </w:t>
      </w:r>
      <w:r w:rsidR="00764171">
        <w:t>Technology Cost and Performance</w:t>
      </w:r>
      <w:r>
        <w:t xml:space="preserve"> Views</w:t>
      </w:r>
      <w:bookmarkEnd w:id="5"/>
    </w:p>
    <w:p w14:paraId="540E5794" w14:textId="4E007EF5" w:rsidR="00EE2A78" w:rsidRDefault="00C61C53" w:rsidP="00D86E63">
      <w:r>
        <w:t>Electricity generating technology is always evolving</w:t>
      </w:r>
      <w:r w:rsidR="000302CE">
        <w:t>,</w:t>
      </w:r>
      <w:r w:rsidR="005B783C" w:rsidRPr="005B783C">
        <w:rPr>
          <w:rFonts w:eastAsia="Cambria" w:cs="Cambria"/>
          <w:color w:val="000000" w:themeColor="text1"/>
        </w:rPr>
        <w:t xml:space="preserve"> </w:t>
      </w:r>
      <w:r w:rsidR="005B783C" w:rsidRPr="008F0CD7">
        <w:rPr>
          <w:rFonts w:eastAsia="Cambria" w:cs="Cambria"/>
          <w:color w:val="000000" w:themeColor="text1"/>
        </w:rPr>
        <w:t xml:space="preserve">and there are </w:t>
      </w:r>
      <w:r w:rsidR="005B783C">
        <w:rPr>
          <w:rFonts w:eastAsia="Cambria" w:cs="Cambria"/>
          <w:color w:val="000000" w:themeColor="text1"/>
        </w:rPr>
        <w:t xml:space="preserve">numerous </w:t>
      </w:r>
      <w:r w:rsidR="005B783C" w:rsidRPr="008F0CD7">
        <w:rPr>
          <w:rFonts w:eastAsia="Cambria" w:cs="Cambria"/>
          <w:color w:val="000000" w:themeColor="text1"/>
        </w:rPr>
        <w:t>resources that can contribute to meeting the demand for electricity</w:t>
      </w:r>
      <w:r w:rsidR="00F84951">
        <w:t>.</w:t>
      </w:r>
      <w:r>
        <w:t xml:space="preserve"> </w:t>
      </w:r>
      <w:r w:rsidR="004D40CB" w:rsidRPr="008F0CD7">
        <w:rPr>
          <w:rFonts w:eastAsia="Cambria" w:cs="Cambria"/>
          <w:color w:val="000000" w:themeColor="text1"/>
        </w:rPr>
        <w:t>The pace and direction of the evolution of each of these resources is uncertain.</w:t>
      </w:r>
      <w:r w:rsidRPr="008F0CD7">
        <w:rPr>
          <w:rFonts w:eastAsia="Cambria" w:cs="Cambria"/>
          <w:color w:val="000000" w:themeColor="text1"/>
        </w:rPr>
        <w:t xml:space="preserve"> </w:t>
      </w:r>
      <w:r>
        <w:t xml:space="preserve">The Company maintains a technology screening process that evaluates a wide portfolio of technologies at varying levels of development for inclusion in planning scenarios. This screening process characterizes technologies that are commercially available as well as those that are expected to be commercially available at some point during the planning horizon. </w:t>
      </w:r>
    </w:p>
    <w:p w14:paraId="61B52279" w14:textId="4CD39059" w:rsidR="00764171" w:rsidRDefault="00EE2A78" w:rsidP="00D86E63">
      <w:r w:rsidRPr="008F0CD7">
        <w:rPr>
          <w:rFonts w:eastAsia="Cambria" w:cs="Cambria"/>
          <w:color w:val="000000" w:themeColor="text1"/>
        </w:rPr>
        <w:t xml:space="preserve">For </w:t>
      </w:r>
      <w:r>
        <w:rPr>
          <w:rFonts w:eastAsia="Cambria" w:cs="Cambria"/>
          <w:color w:val="000000" w:themeColor="text1"/>
        </w:rPr>
        <w:t>the</w:t>
      </w:r>
      <w:r w:rsidRPr="008F0CD7">
        <w:rPr>
          <w:rFonts w:eastAsia="Cambria" w:cs="Cambria"/>
          <w:color w:val="000000" w:themeColor="text1"/>
        </w:rPr>
        <w:t xml:space="preserve"> B2025 analyses</w:t>
      </w:r>
      <w:r>
        <w:rPr>
          <w:rFonts w:eastAsia="Cambria" w:cs="Cambria"/>
          <w:color w:val="000000" w:themeColor="text1"/>
        </w:rPr>
        <w:t>,</w:t>
      </w:r>
      <w:r w:rsidRPr="00AC55B4">
        <w:rPr>
          <w:rFonts w:eastAsia="Cambria" w:cs="Cambria"/>
          <w:color w:val="000000" w:themeColor="text1"/>
        </w:rPr>
        <w:t xml:space="preserve"> </w:t>
      </w:r>
      <w:r w:rsidRPr="008F0CD7">
        <w:rPr>
          <w:rFonts w:eastAsia="Cambria" w:cs="Cambria"/>
          <w:color w:val="000000" w:themeColor="text1"/>
        </w:rPr>
        <w:t xml:space="preserve">the technologies that passed initial screening, indicating their potential cost-effectiveness, </w:t>
      </w:r>
      <w:r>
        <w:rPr>
          <w:rFonts w:eastAsia="Cambria" w:cs="Cambria"/>
          <w:color w:val="000000" w:themeColor="text1"/>
        </w:rPr>
        <w:t>include NGCC</w:t>
      </w:r>
      <w:r w:rsidRPr="008F0CD7">
        <w:rPr>
          <w:rFonts w:eastAsia="Cambria" w:cs="Cambria"/>
          <w:color w:val="000000" w:themeColor="text1"/>
        </w:rPr>
        <w:t xml:space="preserve">, dual-fuel </w:t>
      </w:r>
      <w:r>
        <w:rPr>
          <w:rFonts w:eastAsia="Cambria" w:cs="Cambria"/>
          <w:color w:val="000000" w:themeColor="text1"/>
        </w:rPr>
        <w:t>CT</w:t>
      </w:r>
      <w:r w:rsidRPr="008F0CD7">
        <w:rPr>
          <w:rFonts w:eastAsia="Cambria" w:cs="Cambria"/>
          <w:color w:val="000000" w:themeColor="text1"/>
        </w:rPr>
        <w:t xml:space="preserve"> with </w:t>
      </w:r>
      <w:r w:rsidRPr="00FC57CA">
        <w:rPr>
          <w:rFonts w:eastAsia="Cambria" w:cs="Cambria"/>
          <w:color w:val="000000" w:themeColor="text1"/>
        </w:rPr>
        <w:t xml:space="preserve">selective catalytic reduction </w:t>
      </w:r>
      <w:r>
        <w:rPr>
          <w:rFonts w:eastAsia="Cambria" w:cs="Cambria"/>
          <w:color w:val="000000" w:themeColor="text1"/>
        </w:rPr>
        <w:t>(“</w:t>
      </w:r>
      <w:r w:rsidRPr="008F0CD7">
        <w:rPr>
          <w:rFonts w:eastAsia="Cambria" w:cs="Cambria"/>
          <w:color w:val="000000" w:themeColor="text1"/>
        </w:rPr>
        <w:t>SCR</w:t>
      </w:r>
      <w:r>
        <w:rPr>
          <w:rFonts w:eastAsia="Cambria" w:cs="Cambria"/>
          <w:color w:val="000000" w:themeColor="text1"/>
        </w:rPr>
        <w:t>”)</w:t>
      </w:r>
      <w:r w:rsidRPr="008F0CD7">
        <w:rPr>
          <w:rFonts w:eastAsia="Cambria" w:cs="Cambria"/>
          <w:color w:val="000000" w:themeColor="text1"/>
        </w:rPr>
        <w:t xml:space="preserve"> (oil-fueled in winter</w:t>
      </w:r>
      <w:r>
        <w:rPr>
          <w:rFonts w:eastAsia="Cambria" w:cs="Cambria"/>
          <w:color w:val="000000" w:themeColor="text1"/>
        </w:rPr>
        <w:t>, natural gas otherwise</w:t>
      </w:r>
      <w:r w:rsidRPr="008F0CD7">
        <w:rPr>
          <w:rFonts w:eastAsia="Cambria" w:cs="Cambria"/>
          <w:color w:val="000000" w:themeColor="text1"/>
        </w:rPr>
        <w:t>), solar photovoltaic</w:t>
      </w:r>
      <w:r>
        <w:rPr>
          <w:rFonts w:eastAsia="Cambria" w:cs="Cambria"/>
          <w:color w:val="000000" w:themeColor="text1"/>
        </w:rPr>
        <w:t xml:space="preserve"> (“PV”)</w:t>
      </w:r>
      <w:r w:rsidRPr="008F0CD7">
        <w:rPr>
          <w:rFonts w:eastAsia="Cambria" w:cs="Cambria"/>
          <w:color w:val="000000" w:themeColor="text1"/>
        </w:rPr>
        <w:t xml:space="preserve">, wind, nuclear (AP-1000), lithium-ion battery storage, and </w:t>
      </w:r>
      <w:r>
        <w:rPr>
          <w:rFonts w:eastAsia="Cambria" w:cs="Cambria"/>
          <w:color w:val="000000" w:themeColor="text1"/>
        </w:rPr>
        <w:t xml:space="preserve">compressed air or </w:t>
      </w:r>
      <w:r w:rsidRPr="008F0CD7">
        <w:rPr>
          <w:rFonts w:eastAsia="Cambria" w:cs="Cambria"/>
          <w:color w:val="000000" w:themeColor="text1"/>
        </w:rPr>
        <w:t>pumped thermal energy storage.</w:t>
      </w:r>
      <w:r>
        <w:rPr>
          <w:rFonts w:eastAsia="Cambria" w:cs="Cambria"/>
          <w:color w:val="000000" w:themeColor="text1"/>
        </w:rPr>
        <w:t xml:space="preserve"> In addition, NGCC with CCS </w:t>
      </w:r>
      <w:r>
        <w:rPr>
          <w:rFonts w:eastAsia="Cambria" w:cs="Cambria"/>
          <w:color w:val="000000" w:themeColor="text1"/>
        </w:rPr>
        <w:lastRenderedPageBreak/>
        <w:t>also passed initial screening based on an assumed trajectory of technology and infrastructure development towards future commercial availability. While this trajectory and ultimate costs remain highly uncertain, the inclusion of NGCC with CCS allows the Company to evaluate scenarios for this potential future resource option.</w:t>
      </w:r>
      <w:r w:rsidRPr="008F0CD7">
        <w:rPr>
          <w:rFonts w:eastAsia="Cambria" w:cs="Cambria"/>
          <w:color w:val="000000" w:themeColor="text1"/>
        </w:rPr>
        <w:t xml:space="preserve"> Please see </w:t>
      </w:r>
      <w:r w:rsidR="008E212B">
        <w:rPr>
          <w:rFonts w:eastAsia="Cambria" w:cs="Cambria"/>
          <w:color w:val="000000" w:themeColor="text1"/>
        </w:rPr>
        <w:t>S</w:t>
      </w:r>
      <w:r w:rsidR="00CA16BC">
        <w:rPr>
          <w:rFonts w:eastAsia="Cambria" w:cs="Cambria"/>
          <w:color w:val="000000" w:themeColor="text1"/>
        </w:rPr>
        <w:t>ection 3</w:t>
      </w:r>
      <w:r w:rsidR="00742F5E">
        <w:rPr>
          <w:rFonts w:eastAsia="Cambria" w:cs="Cambria"/>
          <w:color w:val="000000" w:themeColor="text1"/>
        </w:rPr>
        <w:t>.6.1</w:t>
      </w:r>
      <w:r>
        <w:rPr>
          <w:rFonts w:eastAsia="Cambria" w:cs="Cambria"/>
          <w:color w:val="000000" w:themeColor="text1"/>
        </w:rPr>
        <w:t xml:space="preserve"> </w:t>
      </w:r>
      <w:r w:rsidR="00CA6A9E">
        <w:rPr>
          <w:rFonts w:eastAsia="Cambria" w:cs="Cambria"/>
          <w:color w:val="000000" w:themeColor="text1"/>
        </w:rPr>
        <w:t xml:space="preserve">and the </w:t>
      </w:r>
      <w:r w:rsidR="00107F27">
        <w:rPr>
          <w:rFonts w:eastAsia="Cambria" w:cs="Cambria"/>
          <w:color w:val="000000" w:themeColor="text1"/>
        </w:rPr>
        <w:t>Technology Scree</w:t>
      </w:r>
      <w:r w:rsidR="008E212B">
        <w:rPr>
          <w:rFonts w:eastAsia="Cambria" w:cs="Cambria"/>
          <w:color w:val="000000" w:themeColor="text1"/>
        </w:rPr>
        <w:t>ning and Application Standards in</w:t>
      </w:r>
      <w:r>
        <w:rPr>
          <w:rFonts w:eastAsia="Cambria" w:cs="Cambria"/>
          <w:color w:val="000000" w:themeColor="text1"/>
        </w:rPr>
        <w:t xml:space="preserve"> Technical Appendix Volume 2</w:t>
      </w:r>
      <w:r w:rsidRPr="008F0CD7">
        <w:rPr>
          <w:rFonts w:eastAsia="Cambria" w:cs="Cambria"/>
          <w:color w:val="000000" w:themeColor="text1"/>
        </w:rPr>
        <w:t xml:space="preserve"> for more information on </w:t>
      </w:r>
      <w:r w:rsidR="00C61C53">
        <w:t>the technology screening process.</w:t>
      </w:r>
    </w:p>
    <w:p w14:paraId="50775251" w14:textId="7C11C1AF" w:rsidR="007A423B" w:rsidRDefault="002F02A7" w:rsidP="00D86E63">
      <w:r>
        <w:t xml:space="preserve">The </w:t>
      </w:r>
      <w:r w:rsidR="00EE1415">
        <w:t>C</w:t>
      </w:r>
      <w:r>
        <w:t xml:space="preserve">ompany considers three different views of technology cost and performance uncertainty, </w:t>
      </w:r>
      <w:r w:rsidR="00450D42">
        <w:t xml:space="preserve">all based on </w:t>
      </w:r>
      <w:r>
        <w:t>the same portfolio of technology options</w:t>
      </w:r>
      <w:r w:rsidR="00495F53">
        <w:t xml:space="preserve"> (i.e., “Tech Portfolio”)</w:t>
      </w:r>
      <w:r w:rsidR="0071341D">
        <w:t xml:space="preserve"> (see Section 3.6</w:t>
      </w:r>
      <w:r w:rsidR="00EF7FE3">
        <w:t xml:space="preserve"> for additional </w:t>
      </w:r>
      <w:r w:rsidR="005B4F1D">
        <w:t>discussion</w:t>
      </w:r>
      <w:r w:rsidR="0071341D">
        <w:t>)</w:t>
      </w:r>
      <w:r w:rsidR="003E791E">
        <w:t>.</w:t>
      </w:r>
      <w:r>
        <w:t xml:space="preserve"> </w:t>
      </w:r>
      <w:r w:rsidR="003E791E">
        <w:t>T</w:t>
      </w:r>
      <w:r>
        <w:t xml:space="preserve">he cost of these technologies </w:t>
      </w:r>
      <w:r w:rsidR="007A2BB3">
        <w:t>varies</w:t>
      </w:r>
      <w:r>
        <w:t xml:space="preserve"> across scenarios</w:t>
      </w:r>
      <w:r w:rsidR="00E2187B">
        <w:t xml:space="preserve"> based on the</w:t>
      </w:r>
      <w:r w:rsidR="00E2187B" w:rsidRPr="00E2187B">
        <w:t xml:space="preserve"> </w:t>
      </w:r>
      <w:r w:rsidR="00E2187B">
        <w:t>timing of the phase out of the Inflation Reduction Act (“IRA”)</w:t>
      </w:r>
      <w:r w:rsidR="007524B4">
        <w:t xml:space="preserve"> </w:t>
      </w:r>
      <w:r w:rsidR="00F040EA">
        <w:t xml:space="preserve">production </w:t>
      </w:r>
      <w:r w:rsidR="007524B4">
        <w:t>tax credits</w:t>
      </w:r>
      <w:r w:rsidR="00F040EA">
        <w:t xml:space="preserve"> (</w:t>
      </w:r>
      <w:r w:rsidR="00501A7B">
        <w:t>“</w:t>
      </w:r>
      <w:r w:rsidR="00F040EA">
        <w:t>PTCs</w:t>
      </w:r>
      <w:r w:rsidR="00501A7B">
        <w:t>”</w:t>
      </w:r>
      <w:r w:rsidR="00F040EA">
        <w:t xml:space="preserve">) and </w:t>
      </w:r>
      <w:r w:rsidR="0018035F">
        <w:t xml:space="preserve">investment </w:t>
      </w:r>
      <w:r w:rsidR="00F040EA">
        <w:t>tax credits (</w:t>
      </w:r>
      <w:r w:rsidR="00501A7B">
        <w:t>“</w:t>
      </w:r>
      <w:r w:rsidR="00F040EA">
        <w:t>ITCs</w:t>
      </w:r>
      <w:r w:rsidR="00501A7B">
        <w:t>”</w:t>
      </w:r>
      <w:r w:rsidR="00F040EA">
        <w:t>)</w:t>
      </w:r>
      <w:r w:rsidR="007A2BB3">
        <w:t xml:space="preserve">. The IRA </w:t>
      </w:r>
      <w:r w:rsidR="00FE6ED6">
        <w:t xml:space="preserve">includes </w:t>
      </w:r>
      <w:r w:rsidR="007A2BB3">
        <w:t>provisions for when</w:t>
      </w:r>
      <w:r w:rsidR="00BE0C1A">
        <w:t xml:space="preserve"> the Clean Electricity</w:t>
      </w:r>
      <w:r w:rsidR="00E2187B">
        <w:t xml:space="preserve"> tax</w:t>
      </w:r>
      <w:r w:rsidR="007A2BB3">
        <w:t xml:space="preserve"> incentives </w:t>
      </w:r>
      <w:r w:rsidR="00122FD6">
        <w:t>for</w:t>
      </w:r>
      <w:r w:rsidR="00FA2867">
        <w:t xml:space="preserve"> </w:t>
      </w:r>
      <w:r w:rsidR="00501A7B">
        <w:t>carbon capture and sequestration</w:t>
      </w:r>
      <w:r w:rsidR="00FF7081">
        <w:t xml:space="preserve"> </w:t>
      </w:r>
      <w:r w:rsidR="002B2A41">
        <w:t>(“</w:t>
      </w:r>
      <w:r w:rsidR="003133B1">
        <w:t>CCS</w:t>
      </w:r>
      <w:r w:rsidR="006474EE">
        <w:t>”)</w:t>
      </w:r>
      <w:r w:rsidR="003133B1">
        <w:t xml:space="preserve"> </w:t>
      </w:r>
      <w:r w:rsidR="00FA2867">
        <w:t>and</w:t>
      </w:r>
      <w:r w:rsidR="00B50C1D">
        <w:t xml:space="preserve"> new</w:t>
      </w:r>
      <w:r w:rsidR="00122FD6">
        <w:t xml:space="preserve"> </w:t>
      </w:r>
      <w:r w:rsidR="00BE0C1A">
        <w:t>zero</w:t>
      </w:r>
      <w:r w:rsidR="000A5B86">
        <w:t>-</w:t>
      </w:r>
      <w:r w:rsidR="00122FD6">
        <w:t xml:space="preserve">carbon </w:t>
      </w:r>
      <w:r w:rsidR="00E6155A">
        <w:t>technologies</w:t>
      </w:r>
      <w:r w:rsidR="006308E0">
        <w:t xml:space="preserve"> (e.g., solar, wind, storage, nuclear)</w:t>
      </w:r>
      <w:r w:rsidR="00E6155A">
        <w:t xml:space="preserve"> </w:t>
      </w:r>
      <w:r w:rsidR="007A2BB3">
        <w:t>are set to end. Many tax credits</w:t>
      </w:r>
      <w:r w:rsidR="00C478FD">
        <w:t xml:space="preserve">, including the </w:t>
      </w:r>
      <w:r w:rsidR="00FE1672">
        <w:t>ITCs and PTCs,</w:t>
      </w:r>
      <w:r w:rsidR="007A2BB3">
        <w:t xml:space="preserve"> are set to phase out at the later of 2032 or when nation-wide electric sector </w:t>
      </w:r>
      <w:r w:rsidR="0007661A">
        <w:t xml:space="preserve">carbon emissions </w:t>
      </w:r>
      <w:r w:rsidR="007A2BB3">
        <w:t xml:space="preserve">reach </w:t>
      </w:r>
      <w:r w:rsidR="000E5E76">
        <w:t>2</w:t>
      </w:r>
      <w:r w:rsidR="007A2BB3">
        <w:t xml:space="preserve">5% </w:t>
      </w:r>
      <w:r w:rsidR="000D4E91">
        <w:t>of</w:t>
      </w:r>
      <w:r w:rsidR="007A2BB3">
        <w:t xml:space="preserve"> 2022 levels. </w:t>
      </w:r>
      <w:r w:rsidR="00756EEF" w:rsidRPr="00756EEF">
        <w:t xml:space="preserve">As the latter year is unknown and impactful, the Company considers three different views of it. </w:t>
      </w:r>
      <w:r w:rsidR="0006418E">
        <w:t xml:space="preserve">For the </w:t>
      </w:r>
      <w:r w:rsidR="00484C9D">
        <w:t>Expansion Plan modeling, t</w:t>
      </w:r>
      <w:r w:rsidR="007A2BB3">
        <w:t xml:space="preserve">he IRA </w:t>
      </w:r>
      <w:r w:rsidR="00E0019E">
        <w:t xml:space="preserve">PTCs and ITCs </w:t>
      </w:r>
      <w:r w:rsidR="007A2BB3">
        <w:t>are assumed to extend through the planning horizon</w:t>
      </w:r>
      <w:r w:rsidR="00232378">
        <w:t xml:space="preserve"> </w:t>
      </w:r>
      <w:r w:rsidR="007A2BB3">
        <w:t>for</w:t>
      </w:r>
      <w:r w:rsidR="0098190C">
        <w:t xml:space="preserve"> </w:t>
      </w:r>
      <w:r w:rsidR="008C65CE">
        <w:t>each</w:t>
      </w:r>
      <w:r w:rsidR="00B718A3">
        <w:t xml:space="preserve"> scenario that includes</w:t>
      </w:r>
      <w:r w:rsidR="007A2BB3">
        <w:t xml:space="preserve"> the </w:t>
      </w:r>
      <w:r w:rsidR="007A2BB3">
        <w:rPr>
          <w:i/>
          <w:iCs/>
        </w:rPr>
        <w:t>Lower</w:t>
      </w:r>
      <w:r w:rsidR="007A2BB3">
        <w:t xml:space="preserve"> and </w:t>
      </w:r>
      <w:r w:rsidR="007A2BB3">
        <w:rPr>
          <w:i/>
          <w:iCs/>
        </w:rPr>
        <w:t xml:space="preserve">111 </w:t>
      </w:r>
      <w:r w:rsidR="007A2BB3">
        <w:t xml:space="preserve">greenhouse gas views. For the </w:t>
      </w:r>
      <w:r w:rsidR="007A2BB3">
        <w:rPr>
          <w:i/>
          <w:iCs/>
        </w:rPr>
        <w:t>Moderate, Higher</w:t>
      </w:r>
      <w:r w:rsidR="009774B1">
        <w:rPr>
          <w:i/>
          <w:iCs/>
        </w:rPr>
        <w:t>, 111 + Higher</w:t>
      </w:r>
      <w:r w:rsidR="007A2BB3">
        <w:rPr>
          <w:i/>
          <w:iCs/>
        </w:rPr>
        <w:t xml:space="preserve">, </w:t>
      </w:r>
      <w:r w:rsidR="007A2BB3">
        <w:t xml:space="preserve">and </w:t>
      </w:r>
      <w:r w:rsidR="007A2BB3">
        <w:rPr>
          <w:i/>
          <w:iCs/>
        </w:rPr>
        <w:t>EL</w:t>
      </w:r>
      <w:r w:rsidR="007A2BB3">
        <w:t xml:space="preserve"> greenhouse gas views, the IRA </w:t>
      </w:r>
      <w:r w:rsidR="00E0019E">
        <w:t xml:space="preserve">PTCs and ITCs </w:t>
      </w:r>
      <w:r w:rsidR="007A2BB3">
        <w:t>are assumed to phase out earlier due to the additional greenhouse gas pressure</w:t>
      </w:r>
      <w:r w:rsidR="00B718A3">
        <w:t xml:space="preserve"> associated with those views</w:t>
      </w:r>
      <w:r w:rsidR="00932B7E">
        <w:t>.</w:t>
      </w:r>
      <w:r w:rsidR="007A2BB3">
        <w:t xml:space="preserve"> The phase out is assumed to begin in 2045 for the </w:t>
      </w:r>
      <w:r w:rsidR="007A2BB3">
        <w:rPr>
          <w:i/>
          <w:iCs/>
        </w:rPr>
        <w:t>Moderate</w:t>
      </w:r>
      <w:r w:rsidR="007A2BB3">
        <w:t xml:space="preserve"> and </w:t>
      </w:r>
      <w:r w:rsidR="007A2BB3">
        <w:rPr>
          <w:i/>
          <w:iCs/>
        </w:rPr>
        <w:t>EL</w:t>
      </w:r>
      <w:r w:rsidR="007A2BB3">
        <w:t xml:space="preserve"> view</w:t>
      </w:r>
      <w:r w:rsidR="007D0E5B">
        <w:t>s</w:t>
      </w:r>
      <w:r w:rsidR="007A2BB3">
        <w:t xml:space="preserve"> and in 2035 for the </w:t>
      </w:r>
      <w:r w:rsidR="007A2BB3">
        <w:rPr>
          <w:i/>
          <w:iCs/>
        </w:rPr>
        <w:t>Higher</w:t>
      </w:r>
      <w:r w:rsidR="007A2BB3">
        <w:t xml:space="preserve"> </w:t>
      </w:r>
      <w:r w:rsidR="009774B1">
        <w:t xml:space="preserve">and </w:t>
      </w:r>
      <w:r w:rsidR="009774B1" w:rsidRPr="00B50C1D">
        <w:rPr>
          <w:i/>
          <w:iCs/>
        </w:rPr>
        <w:t>111 + Higher</w:t>
      </w:r>
      <w:r w:rsidR="009774B1">
        <w:t xml:space="preserve"> </w:t>
      </w:r>
      <w:r w:rsidR="007A2BB3">
        <w:t>view</w:t>
      </w:r>
      <w:r w:rsidR="009774B1">
        <w:t>s</w:t>
      </w:r>
      <w:r w:rsidR="007A2BB3">
        <w:t xml:space="preserve">. </w:t>
      </w:r>
    </w:p>
    <w:p w14:paraId="25965829" w14:textId="2465A62C" w:rsidR="008D58D2" w:rsidRDefault="005309C0" w:rsidP="00D56A89">
      <w:r>
        <w:t xml:space="preserve">The </w:t>
      </w:r>
      <w:r w:rsidR="00813C03">
        <w:t xml:space="preserve">IRA </w:t>
      </w:r>
      <w:r w:rsidR="001952CF">
        <w:t>Clean Electricity</w:t>
      </w:r>
      <w:r w:rsidR="00013C06">
        <w:t xml:space="preserve"> ITC (48E) </w:t>
      </w:r>
      <w:r w:rsidR="00C420F5">
        <w:t xml:space="preserve">allows a </w:t>
      </w:r>
      <w:r w:rsidR="001A4875">
        <w:t xml:space="preserve">base </w:t>
      </w:r>
      <w:r w:rsidR="003559D0">
        <w:t xml:space="preserve">tax </w:t>
      </w:r>
      <w:r w:rsidR="001A4875">
        <w:t xml:space="preserve">credit </w:t>
      </w:r>
      <w:r w:rsidR="00426CA9">
        <w:t xml:space="preserve">of </w:t>
      </w:r>
      <w:r w:rsidR="001A4875">
        <w:t>6%</w:t>
      </w:r>
      <w:r w:rsidR="00C54BD4">
        <w:t xml:space="preserve"> of the cost of the facility</w:t>
      </w:r>
      <w:r w:rsidR="002171F1">
        <w:t>,</w:t>
      </w:r>
      <w:r w:rsidR="00880FAB">
        <w:t xml:space="preserve"> and the PTC (</w:t>
      </w:r>
      <w:r w:rsidR="00667A2F">
        <w:t xml:space="preserve">45Y) </w:t>
      </w:r>
      <w:r w:rsidR="00C25335">
        <w:t xml:space="preserve">base credit </w:t>
      </w:r>
      <w:r w:rsidR="00667A2F">
        <w:t xml:space="preserve">is </w:t>
      </w:r>
      <w:r w:rsidR="006C7359">
        <w:t>$5.5 per</w:t>
      </w:r>
      <w:r w:rsidR="004E3903">
        <w:t xml:space="preserve"> </w:t>
      </w:r>
      <w:r w:rsidR="00F14379">
        <w:t>M</w:t>
      </w:r>
      <w:r w:rsidR="00CC4700">
        <w:t>Wh</w:t>
      </w:r>
      <w:r w:rsidR="00B733CB">
        <w:t xml:space="preserve"> (2022</w:t>
      </w:r>
      <w:r w:rsidR="007F3EE0">
        <w:t>$</w:t>
      </w:r>
      <w:r w:rsidR="00B733CB">
        <w:t>)</w:t>
      </w:r>
      <w:r w:rsidR="00C54BD4">
        <w:t xml:space="preserve">. </w:t>
      </w:r>
      <w:r w:rsidR="001B7262">
        <w:t>The</w:t>
      </w:r>
      <w:r w:rsidR="00F1358F">
        <w:t>se</w:t>
      </w:r>
      <w:r w:rsidR="001B7262">
        <w:t xml:space="preserve"> IRA Clean Electricity incentives include</w:t>
      </w:r>
      <w:r w:rsidR="001350DA">
        <w:t xml:space="preserve"> a </w:t>
      </w:r>
      <w:r w:rsidR="00B9052A">
        <w:t xml:space="preserve">credit </w:t>
      </w:r>
      <w:r w:rsidR="00375D18">
        <w:t xml:space="preserve">5X </w:t>
      </w:r>
      <w:r w:rsidR="00B9052A">
        <w:t xml:space="preserve">multiplier if </w:t>
      </w:r>
      <w:r w:rsidR="00570594">
        <w:t>prevailing wage and apprenticeship</w:t>
      </w:r>
      <w:r w:rsidR="0053755A">
        <w:t xml:space="preserve"> requirements are met</w:t>
      </w:r>
      <w:r w:rsidR="007A525F">
        <w:t>, resulting in a</w:t>
      </w:r>
      <w:r w:rsidR="00476C73">
        <w:t xml:space="preserve"> total</w:t>
      </w:r>
      <w:r w:rsidR="005847EC">
        <w:t xml:space="preserve"> ITC of </w:t>
      </w:r>
      <w:r w:rsidR="00AB717C">
        <w:t>30%</w:t>
      </w:r>
      <w:r w:rsidR="0060777E">
        <w:t xml:space="preserve"> and a PTC of </w:t>
      </w:r>
      <w:r w:rsidR="00894F8D">
        <w:t>$2</w:t>
      </w:r>
      <w:r w:rsidR="008E0AFB">
        <w:t>7.5</w:t>
      </w:r>
      <w:r w:rsidR="005B597F">
        <w:t xml:space="preserve"> per MWh</w:t>
      </w:r>
      <w:r w:rsidR="00BD59A8">
        <w:t xml:space="preserve"> (2022</w:t>
      </w:r>
      <w:r w:rsidR="007F3EE0">
        <w:t>$</w:t>
      </w:r>
      <w:r w:rsidR="00BD59A8">
        <w:t>)</w:t>
      </w:r>
      <w:r w:rsidR="00FB60FE">
        <w:t xml:space="preserve"> that rises</w:t>
      </w:r>
      <w:r w:rsidR="00984377">
        <w:t xml:space="preserve"> over time</w:t>
      </w:r>
      <w:r w:rsidR="00310A25">
        <w:t xml:space="preserve"> with inflation.  </w:t>
      </w:r>
      <w:r w:rsidR="003F1797">
        <w:t>A</w:t>
      </w:r>
      <w:r w:rsidR="005246B7">
        <w:t xml:space="preserve">dditional </w:t>
      </w:r>
      <w:r w:rsidR="003F1797">
        <w:t xml:space="preserve">IRA </w:t>
      </w:r>
      <w:r w:rsidR="00BD59A8">
        <w:t>b</w:t>
      </w:r>
      <w:r w:rsidR="00E74CF4">
        <w:t>onuses</w:t>
      </w:r>
      <w:r w:rsidR="003F1797">
        <w:t xml:space="preserve"> </w:t>
      </w:r>
      <w:r w:rsidR="00E74CF4">
        <w:t xml:space="preserve">for meeting </w:t>
      </w:r>
      <w:r w:rsidR="00BA1A66">
        <w:t xml:space="preserve">the </w:t>
      </w:r>
      <w:r w:rsidR="00E74CF4">
        <w:t xml:space="preserve">domestic content and </w:t>
      </w:r>
      <w:r w:rsidR="00BA1A66">
        <w:t xml:space="preserve">the </w:t>
      </w:r>
      <w:r w:rsidR="000A1193">
        <w:t xml:space="preserve">energy community </w:t>
      </w:r>
      <w:r w:rsidR="005246B7">
        <w:t>provisions</w:t>
      </w:r>
      <w:r w:rsidR="000A1193">
        <w:t xml:space="preserve"> were not included for generic </w:t>
      </w:r>
      <w:r w:rsidR="009E134E">
        <w:t xml:space="preserve">expansion </w:t>
      </w:r>
      <w:r w:rsidR="004F2459">
        <w:t>units</w:t>
      </w:r>
      <w:r w:rsidR="00277438">
        <w:t xml:space="preserve"> d</w:t>
      </w:r>
      <w:r w:rsidR="003F1797">
        <w:t>ue to uncertainty regarding the ability to meet the requirements</w:t>
      </w:r>
      <w:r w:rsidR="00277438">
        <w:t>.</w:t>
      </w:r>
      <w:r w:rsidR="008F29E1">
        <w:t xml:space="preserve"> </w:t>
      </w:r>
      <w:r w:rsidR="00752121">
        <w:t xml:space="preserve">The IRA also </w:t>
      </w:r>
      <w:r w:rsidR="00DD36D4">
        <w:t>increased the 45Q</w:t>
      </w:r>
      <w:r w:rsidR="00E96B44">
        <w:t xml:space="preserve"> tax credit for </w:t>
      </w:r>
      <w:r w:rsidR="001418DA">
        <w:t>CCS</w:t>
      </w:r>
      <w:r w:rsidR="00E96B44">
        <w:t xml:space="preserve"> to $85</w:t>
      </w:r>
      <w:r w:rsidR="003350CC">
        <w:t xml:space="preserve"> per </w:t>
      </w:r>
      <w:r w:rsidR="003350CC" w:rsidDel="00CB4ADF">
        <w:t xml:space="preserve">metric ton </w:t>
      </w:r>
      <w:r w:rsidR="003350CC">
        <w:t>of CO</w:t>
      </w:r>
      <w:r w:rsidR="003350CC" w:rsidRPr="00746780">
        <w:rPr>
          <w:vertAlign w:val="subscript"/>
        </w:rPr>
        <w:t>2</w:t>
      </w:r>
      <w:r w:rsidR="001C22C8">
        <w:t xml:space="preserve"> (2026$), which </w:t>
      </w:r>
      <w:r w:rsidR="00AE15B9">
        <w:t>rises with inflation.</w:t>
      </w:r>
      <w:r w:rsidR="00020D00">
        <w:t xml:space="preserve"> </w:t>
      </w:r>
      <w:r w:rsidR="003A49DC">
        <w:t xml:space="preserve">The </w:t>
      </w:r>
      <w:r w:rsidR="00BB1EE9">
        <w:t xml:space="preserve">PTC is available to eligible facilities for 10 years of operation while the 45Q tax credit is available </w:t>
      </w:r>
      <w:r w:rsidR="00702DED">
        <w:t xml:space="preserve">to eligible facilities </w:t>
      </w:r>
      <w:r w:rsidR="00BB1EE9">
        <w:t xml:space="preserve">for </w:t>
      </w:r>
      <w:r w:rsidR="00702DED">
        <w:t>12 years of operation.</w:t>
      </w:r>
      <w:r w:rsidR="00BE5EEA">
        <w:t xml:space="preserve"> Table 2 shows the IRA assumptions included in the Expansion Plan scenarios.</w:t>
      </w:r>
    </w:p>
    <w:p w14:paraId="7B4A29C4" w14:textId="77777777" w:rsidR="00E94C2C" w:rsidRPr="00AA3A94" w:rsidRDefault="00E94C2C" w:rsidP="00E94C2C">
      <w:pPr>
        <w:pStyle w:val="Caption"/>
      </w:pPr>
      <w:r w:rsidRPr="00AA3A94">
        <w:lastRenderedPageBreak/>
        <w:t xml:space="preserve">Table </w:t>
      </w:r>
      <w:r>
        <w:fldChar w:fldCharType="begin"/>
      </w:r>
      <w:r>
        <w:instrText xml:space="preserve"> SEQ Table \* ARABIC </w:instrText>
      </w:r>
      <w:r>
        <w:fldChar w:fldCharType="separate"/>
      </w:r>
      <w:r w:rsidRPr="00AA3A94">
        <w:rPr>
          <w:noProof/>
        </w:rPr>
        <w:t>2</w:t>
      </w:r>
      <w:r>
        <w:rPr>
          <w:noProof/>
        </w:rPr>
        <w:fldChar w:fldCharType="end"/>
      </w:r>
      <w:r w:rsidRPr="00AA3A94">
        <w:t xml:space="preserve">: Inflation Reduction Act </w:t>
      </w:r>
      <w:r>
        <w:t>a</w:t>
      </w:r>
      <w:r w:rsidRPr="00AA3A94">
        <w:t>ssumptions</w:t>
      </w:r>
    </w:p>
    <w:tbl>
      <w:tblPr>
        <w:tblStyle w:val="ListTable4-Accent1"/>
        <w:tblW w:w="9350" w:type="dxa"/>
        <w:tblLook w:val="06A0" w:firstRow="1" w:lastRow="0" w:firstColumn="1" w:lastColumn="0" w:noHBand="1" w:noVBand="1"/>
      </w:tblPr>
      <w:tblGrid>
        <w:gridCol w:w="2335"/>
        <w:gridCol w:w="2338"/>
        <w:gridCol w:w="2338"/>
        <w:gridCol w:w="2339"/>
      </w:tblGrid>
      <w:tr w:rsidR="00E94C2C" w:rsidRPr="00EE67DA" w14:paraId="44E3F5D9"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5" w:type="dxa"/>
          </w:tcPr>
          <w:p w14:paraId="67312D07" w14:textId="77777777" w:rsidR="00E94C2C" w:rsidRPr="00ED152B" w:rsidRDefault="00E94C2C" w:rsidP="002E5557">
            <w:pPr>
              <w:spacing w:line="276" w:lineRule="auto"/>
              <w:jc w:val="center"/>
              <w:rPr>
                <w:rFonts w:ascii="Aptos" w:eastAsia="Cambria" w:hAnsi="Aptos" w:cs="Cambria"/>
              </w:rPr>
            </w:pPr>
          </w:p>
        </w:tc>
        <w:tc>
          <w:tcPr>
            <w:tcW w:w="2338" w:type="dxa"/>
          </w:tcPr>
          <w:p w14:paraId="649943E0" w14:textId="77777777" w:rsidR="00E94C2C" w:rsidRPr="00ED152B" w:rsidRDefault="00E94C2C" w:rsidP="002E5557">
            <w:pPr>
              <w:spacing w:line="276" w:lineRule="auto"/>
              <w:jc w:val="center"/>
              <w:cnfStyle w:val="100000000000" w:firstRow="1" w:lastRow="0" w:firstColumn="0" w:lastColumn="0" w:oddVBand="0" w:evenVBand="0" w:oddHBand="0" w:evenHBand="0" w:firstRowFirstColumn="0" w:firstRowLastColumn="0" w:lastRowFirstColumn="0" w:lastRowLastColumn="0"/>
              <w:rPr>
                <w:rFonts w:ascii="Aptos" w:eastAsia="Cambria" w:hAnsi="Aptos" w:cs="Cambria"/>
              </w:rPr>
            </w:pPr>
            <w:r w:rsidRPr="00ED152B">
              <w:rPr>
                <w:rFonts w:ascii="Aptos" w:eastAsia="Cambria" w:hAnsi="Aptos" w:cs="Cambria"/>
              </w:rPr>
              <w:t>Clean Energy ITC (48E)</w:t>
            </w:r>
          </w:p>
        </w:tc>
        <w:tc>
          <w:tcPr>
            <w:tcW w:w="2338" w:type="dxa"/>
          </w:tcPr>
          <w:p w14:paraId="66CDDC83" w14:textId="77777777" w:rsidR="00E94C2C" w:rsidRPr="00ED152B" w:rsidRDefault="00E94C2C" w:rsidP="002E5557">
            <w:pPr>
              <w:spacing w:line="276" w:lineRule="auto"/>
              <w:jc w:val="center"/>
              <w:cnfStyle w:val="100000000000" w:firstRow="1" w:lastRow="0" w:firstColumn="0" w:lastColumn="0" w:oddVBand="0" w:evenVBand="0" w:oddHBand="0" w:evenHBand="0" w:firstRowFirstColumn="0" w:firstRowLastColumn="0" w:lastRowFirstColumn="0" w:lastRowLastColumn="0"/>
              <w:rPr>
                <w:rFonts w:ascii="Aptos" w:eastAsia="Cambria" w:hAnsi="Aptos" w:cs="Cambria"/>
              </w:rPr>
            </w:pPr>
            <w:r w:rsidRPr="00ED152B">
              <w:rPr>
                <w:rFonts w:ascii="Aptos" w:eastAsia="Cambria" w:hAnsi="Aptos" w:cs="Cambria"/>
              </w:rPr>
              <w:t>Clean Energy PTC (45Y)</w:t>
            </w:r>
          </w:p>
        </w:tc>
        <w:tc>
          <w:tcPr>
            <w:tcW w:w="2339" w:type="dxa"/>
          </w:tcPr>
          <w:p w14:paraId="02917C43" w14:textId="77777777" w:rsidR="00E94C2C" w:rsidRPr="00ED152B" w:rsidRDefault="00E94C2C" w:rsidP="002E5557">
            <w:pPr>
              <w:spacing w:line="276" w:lineRule="auto"/>
              <w:jc w:val="center"/>
              <w:cnfStyle w:val="100000000000" w:firstRow="1" w:lastRow="0" w:firstColumn="0" w:lastColumn="0" w:oddVBand="0" w:evenVBand="0" w:oddHBand="0" w:evenHBand="0" w:firstRowFirstColumn="0" w:firstRowLastColumn="0" w:lastRowFirstColumn="0" w:lastRowLastColumn="0"/>
              <w:rPr>
                <w:rFonts w:ascii="Aptos" w:eastAsia="Cambria" w:hAnsi="Aptos" w:cs="Cambria"/>
              </w:rPr>
            </w:pPr>
            <w:r w:rsidRPr="00ED152B">
              <w:rPr>
                <w:rFonts w:ascii="Aptos" w:eastAsia="Cambria" w:hAnsi="Aptos" w:cs="Cambria"/>
              </w:rPr>
              <w:t>CCS Tax Credit</w:t>
            </w:r>
          </w:p>
          <w:p w14:paraId="2258D4AF" w14:textId="77777777" w:rsidR="00E94C2C" w:rsidRPr="00ED152B" w:rsidRDefault="00E94C2C" w:rsidP="002E5557">
            <w:pPr>
              <w:spacing w:line="276" w:lineRule="auto"/>
              <w:jc w:val="center"/>
              <w:cnfStyle w:val="100000000000" w:firstRow="1" w:lastRow="0" w:firstColumn="0" w:lastColumn="0" w:oddVBand="0" w:evenVBand="0" w:oddHBand="0" w:evenHBand="0" w:firstRowFirstColumn="0" w:firstRowLastColumn="0" w:lastRowFirstColumn="0" w:lastRowLastColumn="0"/>
              <w:rPr>
                <w:rFonts w:ascii="Aptos" w:eastAsia="Cambria" w:hAnsi="Aptos" w:cs="Cambria"/>
              </w:rPr>
            </w:pPr>
            <w:r w:rsidRPr="00ED152B">
              <w:rPr>
                <w:rFonts w:ascii="Aptos" w:eastAsia="Cambria" w:hAnsi="Aptos" w:cs="Cambria"/>
              </w:rPr>
              <w:t>(45Q)</w:t>
            </w:r>
          </w:p>
        </w:tc>
      </w:tr>
      <w:tr w:rsidR="00E94C2C" w14:paraId="39B0AA56" w14:textId="77777777">
        <w:tc>
          <w:tcPr>
            <w:cnfStyle w:val="001000000000" w:firstRow="0" w:lastRow="0" w:firstColumn="1" w:lastColumn="0" w:oddVBand="0" w:evenVBand="0" w:oddHBand="0" w:evenHBand="0" w:firstRowFirstColumn="0" w:firstRowLastColumn="0" w:lastRowFirstColumn="0" w:lastRowLastColumn="0"/>
            <w:tcW w:w="2335" w:type="dxa"/>
            <w:shd w:val="clear" w:color="auto" w:fill="E8E8E8" w:themeFill="background2"/>
          </w:tcPr>
          <w:p w14:paraId="785B601E" w14:textId="77777777" w:rsidR="00E94C2C" w:rsidRDefault="00E94C2C" w:rsidP="002E5557">
            <w:pPr>
              <w:spacing w:line="276" w:lineRule="auto"/>
              <w:rPr>
                <w:rFonts w:ascii="Aptos" w:eastAsia="Cambria" w:hAnsi="Aptos" w:cs="Cambria"/>
                <w:color w:val="000000" w:themeColor="text1"/>
              </w:rPr>
            </w:pPr>
            <w:r>
              <w:rPr>
                <w:rFonts w:ascii="Aptos" w:eastAsia="Cambria" w:hAnsi="Aptos" w:cs="Cambria"/>
                <w:color w:val="000000" w:themeColor="text1"/>
              </w:rPr>
              <w:t>Credit Amount</w:t>
            </w:r>
          </w:p>
        </w:tc>
        <w:tc>
          <w:tcPr>
            <w:tcW w:w="2338" w:type="dxa"/>
            <w:shd w:val="clear" w:color="auto" w:fill="E8E8E8" w:themeFill="background2"/>
          </w:tcPr>
          <w:p w14:paraId="64835A61" w14:textId="77777777" w:rsidR="00E94C2C" w:rsidRDefault="00E94C2C" w:rsidP="002E5557">
            <w:pPr>
              <w:spacing w:line="276" w:lineRule="auto"/>
              <w:jc w:val="center"/>
              <w:cnfStyle w:val="000000000000" w:firstRow="0" w:lastRow="0" w:firstColumn="0" w:lastColumn="0" w:oddVBand="0" w:evenVBand="0" w:oddHBand="0" w:evenHBand="0" w:firstRowFirstColumn="0" w:firstRowLastColumn="0" w:lastRowFirstColumn="0" w:lastRowLastColumn="0"/>
              <w:rPr>
                <w:rFonts w:ascii="Aptos" w:eastAsia="Cambria" w:hAnsi="Aptos" w:cs="Cambria"/>
                <w:color w:val="000000" w:themeColor="text1"/>
              </w:rPr>
            </w:pPr>
          </w:p>
        </w:tc>
        <w:tc>
          <w:tcPr>
            <w:tcW w:w="2338" w:type="dxa"/>
            <w:shd w:val="clear" w:color="auto" w:fill="E8E8E8" w:themeFill="background2"/>
          </w:tcPr>
          <w:p w14:paraId="1E2F2244" w14:textId="77777777" w:rsidR="00E94C2C" w:rsidRDefault="00E94C2C" w:rsidP="002E5557">
            <w:pPr>
              <w:spacing w:line="276" w:lineRule="auto"/>
              <w:jc w:val="center"/>
              <w:cnfStyle w:val="000000000000" w:firstRow="0" w:lastRow="0" w:firstColumn="0" w:lastColumn="0" w:oddVBand="0" w:evenVBand="0" w:oddHBand="0" w:evenHBand="0" w:firstRowFirstColumn="0" w:firstRowLastColumn="0" w:lastRowFirstColumn="0" w:lastRowLastColumn="0"/>
              <w:rPr>
                <w:rFonts w:ascii="Aptos" w:eastAsia="Cambria" w:hAnsi="Aptos" w:cs="Cambria"/>
                <w:color w:val="000000" w:themeColor="text1"/>
              </w:rPr>
            </w:pPr>
          </w:p>
        </w:tc>
        <w:tc>
          <w:tcPr>
            <w:tcW w:w="2339" w:type="dxa"/>
            <w:shd w:val="clear" w:color="auto" w:fill="E8E8E8" w:themeFill="background2"/>
          </w:tcPr>
          <w:p w14:paraId="11425B2E" w14:textId="77777777" w:rsidR="00E94C2C" w:rsidRDefault="00E94C2C" w:rsidP="002E5557">
            <w:pPr>
              <w:spacing w:line="276" w:lineRule="auto"/>
              <w:jc w:val="center"/>
              <w:cnfStyle w:val="000000000000" w:firstRow="0" w:lastRow="0" w:firstColumn="0" w:lastColumn="0" w:oddVBand="0" w:evenVBand="0" w:oddHBand="0" w:evenHBand="0" w:firstRowFirstColumn="0" w:firstRowLastColumn="0" w:lastRowFirstColumn="0" w:lastRowLastColumn="0"/>
              <w:rPr>
                <w:rFonts w:ascii="Aptos" w:eastAsia="Cambria" w:hAnsi="Aptos" w:cs="Cambria"/>
                <w:color w:val="000000" w:themeColor="text1"/>
              </w:rPr>
            </w:pPr>
          </w:p>
        </w:tc>
      </w:tr>
      <w:tr w:rsidR="00E94C2C" w14:paraId="3414F684" w14:textId="77777777">
        <w:tc>
          <w:tcPr>
            <w:cnfStyle w:val="001000000000" w:firstRow="0" w:lastRow="0" w:firstColumn="1" w:lastColumn="0" w:oddVBand="0" w:evenVBand="0" w:oddHBand="0" w:evenHBand="0" w:firstRowFirstColumn="0" w:firstRowLastColumn="0" w:lastRowFirstColumn="0" w:lastRowLastColumn="0"/>
            <w:tcW w:w="2335" w:type="dxa"/>
          </w:tcPr>
          <w:p w14:paraId="498368AD" w14:textId="77777777" w:rsidR="00E94C2C" w:rsidRPr="00F040EA" w:rsidRDefault="00E94C2C" w:rsidP="002E5557">
            <w:pPr>
              <w:spacing w:line="276" w:lineRule="auto"/>
              <w:ind w:left="251"/>
              <w:rPr>
                <w:rFonts w:ascii="Aptos" w:eastAsia="Cambria" w:hAnsi="Aptos" w:cs="Cambria"/>
                <w:color w:val="156082" w:themeColor="accent1"/>
              </w:rPr>
            </w:pPr>
            <w:r w:rsidRPr="00F040EA">
              <w:rPr>
                <w:rFonts w:ascii="Aptos" w:eastAsia="Cambria" w:hAnsi="Aptos" w:cs="Cambria"/>
                <w:color w:val="156082" w:themeColor="accent1"/>
              </w:rPr>
              <w:t>All Views</w:t>
            </w:r>
          </w:p>
        </w:tc>
        <w:tc>
          <w:tcPr>
            <w:tcW w:w="2338" w:type="dxa"/>
          </w:tcPr>
          <w:p w14:paraId="5153A0F8" w14:textId="77777777" w:rsidR="00E94C2C" w:rsidRDefault="00E94C2C" w:rsidP="002E5557">
            <w:pPr>
              <w:spacing w:line="276" w:lineRule="auto"/>
              <w:jc w:val="center"/>
              <w:cnfStyle w:val="000000000000" w:firstRow="0" w:lastRow="0" w:firstColumn="0" w:lastColumn="0" w:oddVBand="0" w:evenVBand="0" w:oddHBand="0" w:evenHBand="0" w:firstRowFirstColumn="0" w:firstRowLastColumn="0" w:lastRowFirstColumn="0" w:lastRowLastColumn="0"/>
              <w:rPr>
                <w:rFonts w:ascii="Aptos" w:eastAsia="Cambria" w:hAnsi="Aptos" w:cs="Cambria"/>
                <w:color w:val="000000" w:themeColor="text1"/>
              </w:rPr>
            </w:pPr>
            <w:r>
              <w:rPr>
                <w:rFonts w:ascii="Aptos" w:eastAsia="Cambria" w:hAnsi="Aptos" w:cs="Cambria"/>
                <w:color w:val="000000" w:themeColor="text1"/>
              </w:rPr>
              <w:t>30% of cost</w:t>
            </w:r>
          </w:p>
        </w:tc>
        <w:tc>
          <w:tcPr>
            <w:tcW w:w="2338" w:type="dxa"/>
          </w:tcPr>
          <w:p w14:paraId="1053280F" w14:textId="5BA3FAD3" w:rsidR="00E94C2C" w:rsidRDefault="00E94C2C" w:rsidP="002E5557">
            <w:pPr>
              <w:spacing w:line="276" w:lineRule="auto"/>
              <w:jc w:val="center"/>
              <w:cnfStyle w:val="000000000000" w:firstRow="0" w:lastRow="0" w:firstColumn="0" w:lastColumn="0" w:oddVBand="0" w:evenVBand="0" w:oddHBand="0" w:evenHBand="0" w:firstRowFirstColumn="0" w:firstRowLastColumn="0" w:lastRowFirstColumn="0" w:lastRowLastColumn="0"/>
              <w:rPr>
                <w:rFonts w:ascii="Aptos" w:eastAsia="Cambria" w:hAnsi="Aptos" w:cs="Cambria"/>
                <w:color w:val="000000" w:themeColor="text1"/>
              </w:rPr>
            </w:pPr>
            <w:r>
              <w:rPr>
                <w:rFonts w:ascii="Aptos" w:eastAsia="Cambria" w:hAnsi="Aptos" w:cs="Cambria"/>
                <w:color w:val="000000" w:themeColor="text1"/>
              </w:rPr>
              <w:t>10</w:t>
            </w:r>
            <w:r w:rsidR="00B5128E">
              <w:rPr>
                <w:rFonts w:ascii="Aptos" w:eastAsia="Cambria" w:hAnsi="Aptos" w:cs="Cambria"/>
                <w:color w:val="000000" w:themeColor="text1"/>
              </w:rPr>
              <w:t xml:space="preserve"> </w:t>
            </w:r>
            <w:r>
              <w:rPr>
                <w:rFonts w:ascii="Aptos" w:eastAsia="Cambria" w:hAnsi="Aptos" w:cs="Cambria"/>
                <w:color w:val="000000" w:themeColor="text1"/>
              </w:rPr>
              <w:t>years of operation</w:t>
            </w:r>
            <w:r>
              <w:rPr>
                <w:rFonts w:ascii="Aptos" w:eastAsia="Cambria" w:hAnsi="Aptos" w:cs="Cambria"/>
                <w:color w:val="000000" w:themeColor="text1"/>
              </w:rPr>
              <w:br/>
              <w:t>$27.5/MWh (2022$)</w:t>
            </w:r>
          </w:p>
        </w:tc>
        <w:tc>
          <w:tcPr>
            <w:tcW w:w="2339" w:type="dxa"/>
          </w:tcPr>
          <w:p w14:paraId="61347262" w14:textId="26B81577" w:rsidR="00E94C2C" w:rsidRDefault="00E94C2C" w:rsidP="002E5557">
            <w:pPr>
              <w:spacing w:line="276" w:lineRule="auto"/>
              <w:jc w:val="center"/>
              <w:cnfStyle w:val="000000000000" w:firstRow="0" w:lastRow="0" w:firstColumn="0" w:lastColumn="0" w:oddVBand="0" w:evenVBand="0" w:oddHBand="0" w:evenHBand="0" w:firstRowFirstColumn="0" w:firstRowLastColumn="0" w:lastRowFirstColumn="0" w:lastRowLastColumn="0"/>
              <w:rPr>
                <w:rFonts w:ascii="Aptos" w:eastAsia="Cambria" w:hAnsi="Aptos" w:cs="Cambria"/>
                <w:color w:val="000000" w:themeColor="text1"/>
              </w:rPr>
            </w:pPr>
            <w:r>
              <w:rPr>
                <w:rFonts w:ascii="Aptos" w:eastAsia="Cambria" w:hAnsi="Aptos" w:cs="Cambria"/>
                <w:color w:val="000000" w:themeColor="text1"/>
              </w:rPr>
              <w:t>12 years of operation</w:t>
            </w:r>
            <w:r>
              <w:rPr>
                <w:rFonts w:ascii="Aptos" w:eastAsia="Cambria" w:hAnsi="Aptos" w:cs="Cambria"/>
                <w:color w:val="000000" w:themeColor="text1"/>
              </w:rPr>
              <w:br/>
              <w:t>$85/m</w:t>
            </w:r>
            <w:r w:rsidR="00D10B6C">
              <w:rPr>
                <w:rFonts w:ascii="Aptos" w:eastAsia="Cambria" w:hAnsi="Aptos" w:cs="Cambria"/>
                <w:color w:val="000000" w:themeColor="text1"/>
              </w:rPr>
              <w:t>e</w:t>
            </w:r>
            <w:r>
              <w:rPr>
                <w:rFonts w:ascii="Aptos" w:eastAsia="Cambria" w:hAnsi="Aptos" w:cs="Cambria"/>
                <w:color w:val="000000" w:themeColor="text1"/>
              </w:rPr>
              <w:t>t</w:t>
            </w:r>
            <w:r w:rsidR="00D10B6C">
              <w:rPr>
                <w:rFonts w:ascii="Aptos" w:eastAsia="Cambria" w:hAnsi="Aptos" w:cs="Cambria"/>
                <w:color w:val="000000" w:themeColor="text1"/>
              </w:rPr>
              <w:t>ric ton</w:t>
            </w:r>
            <w:r>
              <w:rPr>
                <w:rFonts w:ascii="Aptos" w:eastAsia="Cambria" w:hAnsi="Aptos" w:cs="Cambria"/>
                <w:color w:val="000000" w:themeColor="text1"/>
              </w:rPr>
              <w:t xml:space="preserve"> (2026$)</w:t>
            </w:r>
          </w:p>
        </w:tc>
      </w:tr>
      <w:tr w:rsidR="00E94C2C" w14:paraId="37B707C8" w14:textId="77777777">
        <w:tc>
          <w:tcPr>
            <w:cnfStyle w:val="001000000000" w:firstRow="0" w:lastRow="0" w:firstColumn="1" w:lastColumn="0" w:oddVBand="0" w:evenVBand="0" w:oddHBand="0" w:evenHBand="0" w:firstRowFirstColumn="0" w:firstRowLastColumn="0" w:lastRowFirstColumn="0" w:lastRowLastColumn="0"/>
            <w:tcW w:w="2335" w:type="dxa"/>
            <w:shd w:val="clear" w:color="auto" w:fill="E8E8E8" w:themeFill="background2"/>
          </w:tcPr>
          <w:p w14:paraId="2341E26C" w14:textId="77777777" w:rsidR="00E94C2C" w:rsidRDefault="00E94C2C" w:rsidP="002E5557">
            <w:pPr>
              <w:spacing w:line="276" w:lineRule="auto"/>
              <w:rPr>
                <w:rFonts w:ascii="Aptos" w:eastAsia="Cambria" w:hAnsi="Aptos" w:cs="Cambria"/>
                <w:color w:val="000000" w:themeColor="text1"/>
              </w:rPr>
            </w:pPr>
            <w:r>
              <w:rPr>
                <w:rFonts w:ascii="Aptos" w:eastAsia="Cambria" w:hAnsi="Aptos" w:cs="Cambria"/>
                <w:color w:val="000000" w:themeColor="text1"/>
              </w:rPr>
              <w:t>Credit Availability</w:t>
            </w:r>
          </w:p>
        </w:tc>
        <w:tc>
          <w:tcPr>
            <w:tcW w:w="2338" w:type="dxa"/>
            <w:shd w:val="clear" w:color="auto" w:fill="E8E8E8" w:themeFill="background2"/>
          </w:tcPr>
          <w:p w14:paraId="3198131D" w14:textId="77777777" w:rsidR="00E94C2C" w:rsidRDefault="00E94C2C" w:rsidP="002E5557">
            <w:pPr>
              <w:spacing w:line="276" w:lineRule="auto"/>
              <w:jc w:val="center"/>
              <w:cnfStyle w:val="000000000000" w:firstRow="0" w:lastRow="0" w:firstColumn="0" w:lastColumn="0" w:oddVBand="0" w:evenVBand="0" w:oddHBand="0" w:evenHBand="0" w:firstRowFirstColumn="0" w:firstRowLastColumn="0" w:lastRowFirstColumn="0" w:lastRowLastColumn="0"/>
              <w:rPr>
                <w:rFonts w:ascii="Aptos" w:eastAsia="Cambria" w:hAnsi="Aptos" w:cs="Cambria"/>
                <w:color w:val="000000" w:themeColor="text1"/>
              </w:rPr>
            </w:pPr>
          </w:p>
        </w:tc>
        <w:tc>
          <w:tcPr>
            <w:tcW w:w="2338" w:type="dxa"/>
            <w:shd w:val="clear" w:color="auto" w:fill="E8E8E8" w:themeFill="background2"/>
          </w:tcPr>
          <w:p w14:paraId="32221D1F" w14:textId="77777777" w:rsidR="00E94C2C" w:rsidRDefault="00E94C2C" w:rsidP="002E5557">
            <w:pPr>
              <w:spacing w:line="276" w:lineRule="auto"/>
              <w:jc w:val="center"/>
              <w:cnfStyle w:val="000000000000" w:firstRow="0" w:lastRow="0" w:firstColumn="0" w:lastColumn="0" w:oddVBand="0" w:evenVBand="0" w:oddHBand="0" w:evenHBand="0" w:firstRowFirstColumn="0" w:firstRowLastColumn="0" w:lastRowFirstColumn="0" w:lastRowLastColumn="0"/>
              <w:rPr>
                <w:rFonts w:ascii="Aptos" w:eastAsia="Cambria" w:hAnsi="Aptos" w:cs="Cambria"/>
                <w:color w:val="000000" w:themeColor="text1"/>
              </w:rPr>
            </w:pPr>
          </w:p>
        </w:tc>
        <w:tc>
          <w:tcPr>
            <w:tcW w:w="2339" w:type="dxa"/>
            <w:shd w:val="clear" w:color="auto" w:fill="E8E8E8" w:themeFill="background2"/>
          </w:tcPr>
          <w:p w14:paraId="61C40314" w14:textId="77777777" w:rsidR="00E94C2C" w:rsidRDefault="00E94C2C" w:rsidP="002E5557">
            <w:pPr>
              <w:spacing w:line="276" w:lineRule="auto"/>
              <w:jc w:val="center"/>
              <w:cnfStyle w:val="000000000000" w:firstRow="0" w:lastRow="0" w:firstColumn="0" w:lastColumn="0" w:oddVBand="0" w:evenVBand="0" w:oddHBand="0" w:evenHBand="0" w:firstRowFirstColumn="0" w:firstRowLastColumn="0" w:lastRowFirstColumn="0" w:lastRowLastColumn="0"/>
              <w:rPr>
                <w:rFonts w:ascii="Aptos" w:eastAsia="Cambria" w:hAnsi="Aptos" w:cs="Cambria"/>
                <w:color w:val="000000" w:themeColor="text1"/>
              </w:rPr>
            </w:pPr>
          </w:p>
        </w:tc>
      </w:tr>
      <w:tr w:rsidR="00E94C2C" w14:paraId="35A0A870" w14:textId="77777777">
        <w:tc>
          <w:tcPr>
            <w:cnfStyle w:val="001000000000" w:firstRow="0" w:lastRow="0" w:firstColumn="1" w:lastColumn="0" w:oddVBand="0" w:evenVBand="0" w:oddHBand="0" w:evenHBand="0" w:firstRowFirstColumn="0" w:firstRowLastColumn="0" w:lastRowFirstColumn="0" w:lastRowLastColumn="0"/>
            <w:tcW w:w="2335" w:type="dxa"/>
          </w:tcPr>
          <w:p w14:paraId="03B2649E" w14:textId="77777777" w:rsidR="00E94C2C" w:rsidRPr="00864617" w:rsidRDefault="00E94C2C" w:rsidP="002E5557">
            <w:pPr>
              <w:spacing w:line="276" w:lineRule="auto"/>
              <w:ind w:left="251"/>
              <w:rPr>
                <w:rFonts w:ascii="Aptos" w:eastAsia="Cambria" w:hAnsi="Aptos" w:cs="Cambria"/>
                <w:color w:val="156082" w:themeColor="accent1"/>
              </w:rPr>
            </w:pPr>
            <w:r w:rsidRPr="00864617">
              <w:rPr>
                <w:rFonts w:ascii="Aptos" w:eastAsia="Cambria" w:hAnsi="Aptos" w:cs="Cambria"/>
                <w:color w:val="156082" w:themeColor="accent1"/>
              </w:rPr>
              <w:t>Tech Portfolio</w:t>
            </w:r>
          </w:p>
        </w:tc>
        <w:tc>
          <w:tcPr>
            <w:tcW w:w="2338" w:type="dxa"/>
          </w:tcPr>
          <w:p w14:paraId="6DCAB685" w14:textId="77777777" w:rsidR="00E94C2C" w:rsidRDefault="00E94C2C" w:rsidP="002E5557">
            <w:pPr>
              <w:spacing w:line="276" w:lineRule="auto"/>
              <w:jc w:val="center"/>
              <w:cnfStyle w:val="000000000000" w:firstRow="0" w:lastRow="0" w:firstColumn="0" w:lastColumn="0" w:oddVBand="0" w:evenVBand="0" w:oddHBand="0" w:evenHBand="0" w:firstRowFirstColumn="0" w:firstRowLastColumn="0" w:lastRowFirstColumn="0" w:lastRowLastColumn="0"/>
              <w:rPr>
                <w:rFonts w:ascii="Aptos" w:eastAsia="Cambria" w:hAnsi="Aptos" w:cs="Cambria"/>
                <w:color w:val="000000" w:themeColor="text1"/>
              </w:rPr>
            </w:pPr>
            <w:r>
              <w:rPr>
                <w:rFonts w:ascii="Aptos" w:eastAsia="Cambria" w:hAnsi="Aptos" w:cs="Cambria"/>
                <w:color w:val="000000" w:themeColor="text1"/>
              </w:rPr>
              <w:t>Through model horizon</w:t>
            </w:r>
          </w:p>
        </w:tc>
        <w:tc>
          <w:tcPr>
            <w:tcW w:w="2338" w:type="dxa"/>
          </w:tcPr>
          <w:p w14:paraId="14C90434" w14:textId="77777777" w:rsidR="00E94C2C" w:rsidRDefault="00E94C2C" w:rsidP="002E5557">
            <w:pPr>
              <w:spacing w:line="276" w:lineRule="auto"/>
              <w:jc w:val="center"/>
              <w:cnfStyle w:val="000000000000" w:firstRow="0" w:lastRow="0" w:firstColumn="0" w:lastColumn="0" w:oddVBand="0" w:evenVBand="0" w:oddHBand="0" w:evenHBand="0" w:firstRowFirstColumn="0" w:firstRowLastColumn="0" w:lastRowFirstColumn="0" w:lastRowLastColumn="0"/>
              <w:rPr>
                <w:rFonts w:ascii="Aptos" w:eastAsia="Cambria" w:hAnsi="Aptos" w:cs="Cambria"/>
                <w:color w:val="000000" w:themeColor="text1"/>
              </w:rPr>
            </w:pPr>
            <w:r>
              <w:rPr>
                <w:rFonts w:ascii="Aptos" w:eastAsia="Cambria" w:hAnsi="Aptos" w:cs="Cambria"/>
                <w:color w:val="000000" w:themeColor="text1"/>
              </w:rPr>
              <w:t>Through model horizon</w:t>
            </w:r>
          </w:p>
        </w:tc>
        <w:tc>
          <w:tcPr>
            <w:tcW w:w="2339" w:type="dxa"/>
          </w:tcPr>
          <w:p w14:paraId="7EB30A57" w14:textId="301082B9" w:rsidR="00E94C2C" w:rsidRDefault="00B5128E" w:rsidP="002E5557">
            <w:pPr>
              <w:spacing w:line="276" w:lineRule="auto"/>
              <w:jc w:val="center"/>
              <w:cnfStyle w:val="000000000000" w:firstRow="0" w:lastRow="0" w:firstColumn="0" w:lastColumn="0" w:oddVBand="0" w:evenVBand="0" w:oddHBand="0" w:evenHBand="0" w:firstRowFirstColumn="0" w:firstRowLastColumn="0" w:lastRowFirstColumn="0" w:lastRowLastColumn="0"/>
              <w:rPr>
                <w:rFonts w:ascii="Aptos" w:eastAsia="Cambria" w:hAnsi="Aptos" w:cs="Cambria"/>
                <w:color w:val="000000" w:themeColor="text1"/>
              </w:rPr>
            </w:pPr>
            <w:r>
              <w:rPr>
                <w:rFonts w:ascii="Aptos" w:eastAsia="Cambria" w:hAnsi="Aptos" w:cs="Cambria"/>
                <w:color w:val="000000" w:themeColor="text1"/>
              </w:rPr>
              <w:t>Begin c</w:t>
            </w:r>
            <w:r w:rsidR="00E94C2C">
              <w:rPr>
                <w:rFonts w:ascii="Aptos" w:eastAsia="Cambria" w:hAnsi="Aptos" w:cs="Cambria"/>
                <w:color w:val="000000" w:themeColor="text1"/>
              </w:rPr>
              <w:t>onstruction by end of 2032</w:t>
            </w:r>
          </w:p>
        </w:tc>
      </w:tr>
      <w:tr w:rsidR="00E94C2C" w14:paraId="06CDC760" w14:textId="77777777">
        <w:tc>
          <w:tcPr>
            <w:cnfStyle w:val="001000000000" w:firstRow="0" w:lastRow="0" w:firstColumn="1" w:lastColumn="0" w:oddVBand="0" w:evenVBand="0" w:oddHBand="0" w:evenHBand="0" w:firstRowFirstColumn="0" w:firstRowLastColumn="0" w:lastRowFirstColumn="0" w:lastRowLastColumn="0"/>
            <w:tcW w:w="2335" w:type="dxa"/>
          </w:tcPr>
          <w:p w14:paraId="6F6A9BD7" w14:textId="77777777" w:rsidR="00E94C2C" w:rsidRPr="00864617" w:rsidRDefault="00E94C2C" w:rsidP="002E5557">
            <w:pPr>
              <w:spacing w:line="276" w:lineRule="auto"/>
              <w:ind w:left="251"/>
              <w:rPr>
                <w:rFonts w:ascii="Aptos" w:eastAsia="Cambria" w:hAnsi="Aptos" w:cs="Cambria"/>
                <w:color w:val="156082" w:themeColor="accent1"/>
              </w:rPr>
            </w:pPr>
            <w:r w:rsidRPr="00864617">
              <w:rPr>
                <w:rFonts w:ascii="Aptos" w:eastAsia="Cambria" w:hAnsi="Aptos" w:cs="Cambria"/>
                <w:color w:val="156082" w:themeColor="accent1"/>
              </w:rPr>
              <w:t>IRA 2035</w:t>
            </w:r>
          </w:p>
        </w:tc>
        <w:tc>
          <w:tcPr>
            <w:tcW w:w="2338" w:type="dxa"/>
          </w:tcPr>
          <w:p w14:paraId="67E96810" w14:textId="77777777" w:rsidR="00E94C2C" w:rsidRDefault="00E94C2C" w:rsidP="002E5557">
            <w:pPr>
              <w:spacing w:line="276" w:lineRule="auto"/>
              <w:jc w:val="center"/>
              <w:cnfStyle w:val="000000000000" w:firstRow="0" w:lastRow="0" w:firstColumn="0" w:lastColumn="0" w:oddVBand="0" w:evenVBand="0" w:oddHBand="0" w:evenHBand="0" w:firstRowFirstColumn="0" w:firstRowLastColumn="0" w:lastRowFirstColumn="0" w:lastRowLastColumn="0"/>
              <w:rPr>
                <w:rFonts w:ascii="Aptos" w:eastAsia="Cambria" w:hAnsi="Aptos" w:cs="Cambria"/>
                <w:color w:val="000000" w:themeColor="text1"/>
              </w:rPr>
            </w:pPr>
            <w:r>
              <w:rPr>
                <w:rFonts w:ascii="Aptos" w:eastAsia="Cambria" w:hAnsi="Aptos" w:cs="Cambria"/>
                <w:color w:val="000000" w:themeColor="text1"/>
              </w:rPr>
              <w:t>Begin construction by end of 2035</w:t>
            </w:r>
          </w:p>
        </w:tc>
        <w:tc>
          <w:tcPr>
            <w:tcW w:w="2338" w:type="dxa"/>
          </w:tcPr>
          <w:p w14:paraId="004A0974" w14:textId="77777777" w:rsidR="00E94C2C" w:rsidRDefault="00E94C2C" w:rsidP="002E5557">
            <w:pPr>
              <w:spacing w:line="276" w:lineRule="auto"/>
              <w:jc w:val="center"/>
              <w:cnfStyle w:val="000000000000" w:firstRow="0" w:lastRow="0" w:firstColumn="0" w:lastColumn="0" w:oddVBand="0" w:evenVBand="0" w:oddHBand="0" w:evenHBand="0" w:firstRowFirstColumn="0" w:firstRowLastColumn="0" w:lastRowFirstColumn="0" w:lastRowLastColumn="0"/>
              <w:rPr>
                <w:rFonts w:ascii="Aptos" w:eastAsia="Cambria" w:hAnsi="Aptos" w:cs="Cambria"/>
                <w:color w:val="000000" w:themeColor="text1"/>
              </w:rPr>
            </w:pPr>
            <w:r>
              <w:rPr>
                <w:rFonts w:ascii="Aptos" w:eastAsia="Cambria" w:hAnsi="Aptos" w:cs="Cambria"/>
                <w:color w:val="000000" w:themeColor="text1"/>
              </w:rPr>
              <w:t>Begin construction by end of 2035</w:t>
            </w:r>
          </w:p>
        </w:tc>
        <w:tc>
          <w:tcPr>
            <w:tcW w:w="2339" w:type="dxa"/>
          </w:tcPr>
          <w:p w14:paraId="3359603D" w14:textId="77777777" w:rsidR="00E94C2C" w:rsidRDefault="00E94C2C" w:rsidP="002E5557">
            <w:pPr>
              <w:spacing w:line="276" w:lineRule="auto"/>
              <w:jc w:val="center"/>
              <w:cnfStyle w:val="000000000000" w:firstRow="0" w:lastRow="0" w:firstColumn="0" w:lastColumn="0" w:oddVBand="0" w:evenVBand="0" w:oddHBand="0" w:evenHBand="0" w:firstRowFirstColumn="0" w:firstRowLastColumn="0" w:lastRowFirstColumn="0" w:lastRowLastColumn="0"/>
              <w:rPr>
                <w:rFonts w:ascii="Aptos" w:eastAsia="Cambria" w:hAnsi="Aptos" w:cs="Cambria"/>
                <w:color w:val="000000" w:themeColor="text1"/>
              </w:rPr>
            </w:pPr>
            <w:r>
              <w:rPr>
                <w:rFonts w:ascii="Aptos" w:eastAsia="Cambria" w:hAnsi="Aptos" w:cs="Cambria"/>
                <w:color w:val="000000" w:themeColor="text1"/>
              </w:rPr>
              <w:t>Begin construction by end of 2032</w:t>
            </w:r>
          </w:p>
        </w:tc>
      </w:tr>
      <w:tr w:rsidR="00E94C2C" w14:paraId="4CF9141B" w14:textId="77777777">
        <w:tc>
          <w:tcPr>
            <w:cnfStyle w:val="001000000000" w:firstRow="0" w:lastRow="0" w:firstColumn="1" w:lastColumn="0" w:oddVBand="0" w:evenVBand="0" w:oddHBand="0" w:evenHBand="0" w:firstRowFirstColumn="0" w:firstRowLastColumn="0" w:lastRowFirstColumn="0" w:lastRowLastColumn="0"/>
            <w:tcW w:w="2335" w:type="dxa"/>
          </w:tcPr>
          <w:p w14:paraId="1F666D1E" w14:textId="77777777" w:rsidR="00E94C2C" w:rsidRPr="00864617" w:rsidRDefault="00E94C2C" w:rsidP="002E5557">
            <w:pPr>
              <w:spacing w:line="276" w:lineRule="auto"/>
              <w:ind w:left="251"/>
              <w:rPr>
                <w:rFonts w:ascii="Aptos" w:eastAsia="Cambria" w:hAnsi="Aptos" w:cs="Cambria"/>
                <w:color w:val="156082" w:themeColor="accent1"/>
              </w:rPr>
            </w:pPr>
            <w:r w:rsidRPr="00864617">
              <w:rPr>
                <w:rFonts w:ascii="Aptos" w:eastAsia="Cambria" w:hAnsi="Aptos" w:cs="Cambria"/>
                <w:color w:val="156082" w:themeColor="accent1"/>
              </w:rPr>
              <w:t>IRA 2045</w:t>
            </w:r>
          </w:p>
        </w:tc>
        <w:tc>
          <w:tcPr>
            <w:tcW w:w="2338" w:type="dxa"/>
          </w:tcPr>
          <w:p w14:paraId="3774D710" w14:textId="77777777" w:rsidR="00E94C2C" w:rsidRDefault="00E94C2C" w:rsidP="002E5557">
            <w:pPr>
              <w:spacing w:line="276" w:lineRule="auto"/>
              <w:jc w:val="center"/>
              <w:cnfStyle w:val="000000000000" w:firstRow="0" w:lastRow="0" w:firstColumn="0" w:lastColumn="0" w:oddVBand="0" w:evenVBand="0" w:oddHBand="0" w:evenHBand="0" w:firstRowFirstColumn="0" w:firstRowLastColumn="0" w:lastRowFirstColumn="0" w:lastRowLastColumn="0"/>
              <w:rPr>
                <w:rFonts w:ascii="Aptos" w:eastAsia="Cambria" w:hAnsi="Aptos" w:cs="Cambria"/>
                <w:color w:val="000000" w:themeColor="text1"/>
              </w:rPr>
            </w:pPr>
            <w:r>
              <w:rPr>
                <w:rFonts w:ascii="Aptos" w:eastAsia="Cambria" w:hAnsi="Aptos" w:cs="Cambria"/>
                <w:color w:val="000000" w:themeColor="text1"/>
              </w:rPr>
              <w:t>Begin construction by end of 2045</w:t>
            </w:r>
          </w:p>
        </w:tc>
        <w:tc>
          <w:tcPr>
            <w:tcW w:w="2338" w:type="dxa"/>
          </w:tcPr>
          <w:p w14:paraId="186B5F60" w14:textId="77777777" w:rsidR="00E94C2C" w:rsidRDefault="00E94C2C" w:rsidP="002E5557">
            <w:pPr>
              <w:spacing w:line="276" w:lineRule="auto"/>
              <w:jc w:val="center"/>
              <w:cnfStyle w:val="000000000000" w:firstRow="0" w:lastRow="0" w:firstColumn="0" w:lastColumn="0" w:oddVBand="0" w:evenVBand="0" w:oddHBand="0" w:evenHBand="0" w:firstRowFirstColumn="0" w:firstRowLastColumn="0" w:lastRowFirstColumn="0" w:lastRowLastColumn="0"/>
              <w:rPr>
                <w:rFonts w:ascii="Aptos" w:eastAsia="Cambria" w:hAnsi="Aptos" w:cs="Cambria"/>
                <w:color w:val="000000" w:themeColor="text1"/>
              </w:rPr>
            </w:pPr>
            <w:r>
              <w:rPr>
                <w:rFonts w:ascii="Aptos" w:eastAsia="Cambria" w:hAnsi="Aptos" w:cs="Cambria"/>
                <w:color w:val="000000" w:themeColor="text1"/>
              </w:rPr>
              <w:t>Begin construction by end of 2045</w:t>
            </w:r>
          </w:p>
        </w:tc>
        <w:tc>
          <w:tcPr>
            <w:tcW w:w="2339" w:type="dxa"/>
          </w:tcPr>
          <w:p w14:paraId="6A36A231" w14:textId="3EC7EFEC" w:rsidR="00E94C2C" w:rsidRDefault="00B5128E" w:rsidP="002E5557">
            <w:pPr>
              <w:spacing w:line="276" w:lineRule="auto"/>
              <w:jc w:val="center"/>
              <w:cnfStyle w:val="000000000000" w:firstRow="0" w:lastRow="0" w:firstColumn="0" w:lastColumn="0" w:oddVBand="0" w:evenVBand="0" w:oddHBand="0" w:evenHBand="0" w:firstRowFirstColumn="0" w:firstRowLastColumn="0" w:lastRowFirstColumn="0" w:lastRowLastColumn="0"/>
              <w:rPr>
                <w:rFonts w:ascii="Aptos" w:eastAsia="Cambria" w:hAnsi="Aptos" w:cs="Cambria"/>
                <w:color w:val="000000" w:themeColor="text1"/>
              </w:rPr>
            </w:pPr>
            <w:r>
              <w:rPr>
                <w:rFonts w:ascii="Aptos" w:eastAsia="Cambria" w:hAnsi="Aptos" w:cs="Cambria"/>
                <w:color w:val="000000" w:themeColor="text1"/>
              </w:rPr>
              <w:t>Begin c</w:t>
            </w:r>
            <w:r w:rsidR="00E94C2C">
              <w:rPr>
                <w:rFonts w:ascii="Aptos" w:eastAsia="Cambria" w:hAnsi="Aptos" w:cs="Cambria"/>
                <w:color w:val="000000" w:themeColor="text1"/>
              </w:rPr>
              <w:t>onstruction by end of 2032</w:t>
            </w:r>
          </w:p>
        </w:tc>
      </w:tr>
    </w:tbl>
    <w:p w14:paraId="27227147" w14:textId="0C875A2C" w:rsidR="00D32626" w:rsidRDefault="008D58D2" w:rsidP="00402BBD">
      <w:pPr>
        <w:spacing w:before="240"/>
      </w:pPr>
      <w:r>
        <w:t xml:space="preserve">The IRA includes provisions for transfer or sale of tax credits. </w:t>
      </w:r>
      <w:r w:rsidR="00034560">
        <w:t xml:space="preserve">Market transactions for tax credits </w:t>
      </w:r>
      <w:r w:rsidR="00AB0880">
        <w:t xml:space="preserve">have been observed to trade below the </w:t>
      </w:r>
      <w:r w:rsidR="004E5D56">
        <w:t xml:space="preserve">full </w:t>
      </w:r>
      <w:r w:rsidR="00AB0880">
        <w:t>value of the tax credit due</w:t>
      </w:r>
      <w:r w:rsidR="00B50C1D" w:rsidRPr="00B50C1D">
        <w:t xml:space="preserve"> </w:t>
      </w:r>
      <w:r w:rsidR="00B50C1D">
        <w:t>to</w:t>
      </w:r>
      <w:r w:rsidR="00750ADD">
        <w:t>, among other reasons,</w:t>
      </w:r>
      <w:r w:rsidR="00AB0880">
        <w:t xml:space="preserve"> </w:t>
      </w:r>
      <w:r w:rsidR="007500E9">
        <w:t>risk</w:t>
      </w:r>
      <w:r w:rsidR="00EF7F7F">
        <w:t xml:space="preserve">s that are </w:t>
      </w:r>
      <w:r w:rsidR="0086351C">
        <w:t>borne</w:t>
      </w:r>
      <w:r w:rsidR="00EF7F7F">
        <w:t xml:space="preserve"> by the </w:t>
      </w:r>
      <w:r w:rsidR="00283CAE">
        <w:t>purchasers</w:t>
      </w:r>
      <w:r w:rsidR="00EF7F7F">
        <w:t>.</w:t>
      </w:r>
      <w:r w:rsidR="00FE0661">
        <w:t xml:space="preserve"> For modeling purposes, </w:t>
      </w:r>
      <w:r w:rsidR="0023324D">
        <w:t>the Company has</w:t>
      </w:r>
      <w:r w:rsidR="00FE0661">
        <w:t xml:space="preserve"> assumed </w:t>
      </w:r>
      <w:r w:rsidR="006E3F3F">
        <w:t>a 10 percent discount on</w:t>
      </w:r>
      <w:r w:rsidR="00FE0661">
        <w:t xml:space="preserve"> </w:t>
      </w:r>
      <w:r w:rsidR="007B3392">
        <w:t xml:space="preserve">Clean Electricity (48E and 45Y) tax credits. Because of the nascent state of CCS </w:t>
      </w:r>
      <w:r w:rsidR="006624F3">
        <w:t>and associated concerns</w:t>
      </w:r>
      <w:r w:rsidR="00914DEA">
        <w:t xml:space="preserve"> with commercial deployment of the technology</w:t>
      </w:r>
      <w:r w:rsidR="00F71134">
        <w:t xml:space="preserve">, </w:t>
      </w:r>
      <w:r w:rsidR="0023324D">
        <w:t xml:space="preserve">the Company </w:t>
      </w:r>
      <w:r w:rsidR="00F71134">
        <w:t xml:space="preserve">assumed a 25 </w:t>
      </w:r>
      <w:r w:rsidR="00A7013A">
        <w:t>percent</w:t>
      </w:r>
      <w:r w:rsidR="00F71134">
        <w:t xml:space="preserve"> discount on 45Q tax credits.</w:t>
      </w:r>
      <w:r w:rsidR="007B3392">
        <w:t xml:space="preserve"> </w:t>
      </w:r>
    </w:p>
    <w:p w14:paraId="323472C0" w14:textId="1AD3F5F4" w:rsidR="007A2BB3" w:rsidRDefault="00932B7E" w:rsidP="00B50C1D">
      <w:pPr>
        <w:spacing w:before="240"/>
      </w:pPr>
      <w:r>
        <w:t xml:space="preserve">More details around all technologies included in the Tech Portfolio </w:t>
      </w:r>
      <w:r w:rsidR="002D7FBF">
        <w:t xml:space="preserve">and </w:t>
      </w:r>
      <w:r w:rsidR="00402BBD">
        <w:t xml:space="preserve">analyzed </w:t>
      </w:r>
      <w:r w:rsidR="002D7FBF">
        <w:t xml:space="preserve">in the Resource Mix Study </w:t>
      </w:r>
      <w:r>
        <w:t xml:space="preserve">can be found in section </w:t>
      </w:r>
      <w:r w:rsidR="002D7FBF">
        <w:t>3.6.1</w:t>
      </w:r>
      <w:r>
        <w:t>.</w:t>
      </w:r>
    </w:p>
    <w:p w14:paraId="613A8C26" w14:textId="4F44F651" w:rsidR="007A2BB3" w:rsidRDefault="006962F4" w:rsidP="00D86E63">
      <w:pPr>
        <w:pStyle w:val="Heading3"/>
      </w:pPr>
      <w:bookmarkStart w:id="6" w:name="_Toc188405621"/>
      <w:r>
        <w:t xml:space="preserve">2.2.3 </w:t>
      </w:r>
      <w:r w:rsidR="00932B7E">
        <w:t xml:space="preserve">Load </w:t>
      </w:r>
      <w:r>
        <w:t>Views</w:t>
      </w:r>
      <w:bookmarkEnd w:id="6"/>
    </w:p>
    <w:p w14:paraId="05365978" w14:textId="1530D008" w:rsidR="00932B7E" w:rsidRDefault="00DE09A5" w:rsidP="00D86E63">
      <w:r>
        <w:t>To assess uncertainties around f</w:t>
      </w:r>
      <w:r w:rsidR="00932B7E">
        <w:t>uture electricity consumption</w:t>
      </w:r>
      <w:r>
        <w:t>,</w:t>
      </w:r>
      <w:r w:rsidR="00932B7E">
        <w:t xml:space="preserve"> </w:t>
      </w:r>
      <w:r>
        <w:t>t</w:t>
      </w:r>
      <w:r w:rsidR="00932B7E">
        <w:t xml:space="preserve">he </w:t>
      </w:r>
      <w:r w:rsidR="00B45571">
        <w:t>C</w:t>
      </w:r>
      <w:r w:rsidR="00932B7E">
        <w:t xml:space="preserve">ompany considers </w:t>
      </w:r>
      <w:r w:rsidR="00630109">
        <w:t xml:space="preserve">two </w:t>
      </w:r>
      <w:r w:rsidR="00932B7E">
        <w:t>different views of future load growth</w:t>
      </w:r>
      <w:r w:rsidR="00626DFC">
        <w:t xml:space="preserve"> in the Mix Study</w:t>
      </w:r>
      <w:r w:rsidR="00630109">
        <w:t>:</w:t>
      </w:r>
      <w:r w:rsidR="00203FB2">
        <w:t xml:space="preserve"> </w:t>
      </w:r>
      <w:proofErr w:type="gramStart"/>
      <w:r w:rsidR="00203FB2">
        <w:t>a</w:t>
      </w:r>
      <w:proofErr w:type="gramEnd"/>
      <w:r w:rsidR="00203FB2">
        <w:t xml:space="preserve"> </w:t>
      </w:r>
      <w:r w:rsidR="00203FB2">
        <w:rPr>
          <w:i/>
          <w:iCs/>
        </w:rPr>
        <w:t>Standard</w:t>
      </w:r>
      <w:r w:rsidR="00203FB2">
        <w:t xml:space="preserve"> view</w:t>
      </w:r>
      <w:r w:rsidR="00630109">
        <w:t xml:space="preserve"> and</w:t>
      </w:r>
      <w:r w:rsidR="00203FB2">
        <w:t xml:space="preserve"> a view consistent with lower loads due to higher future natural gas price</w:t>
      </w:r>
      <w:r w:rsidR="006872CC">
        <w:t>s</w:t>
      </w:r>
      <w:r w:rsidR="00203FB2">
        <w:t xml:space="preserve"> (</w:t>
      </w:r>
      <w:r w:rsidR="00203FB2">
        <w:rPr>
          <w:i/>
          <w:iCs/>
        </w:rPr>
        <w:t xml:space="preserve">Standard </w:t>
      </w:r>
      <w:r w:rsidR="00630109">
        <w:rPr>
          <w:i/>
          <w:iCs/>
        </w:rPr>
        <w:t>with</w:t>
      </w:r>
      <w:r w:rsidR="00203FB2">
        <w:rPr>
          <w:i/>
          <w:iCs/>
        </w:rPr>
        <w:t xml:space="preserve"> HG0 Delta</w:t>
      </w:r>
      <w:r w:rsidR="00203FB2">
        <w:t>)</w:t>
      </w:r>
      <w:r w:rsidR="00203FB2" w:rsidRPr="00203FB2">
        <w:t>.</w:t>
      </w:r>
      <w:r w:rsidR="00386503">
        <w:t xml:space="preserve"> Additional load views </w:t>
      </w:r>
      <w:r w:rsidR="004029C2">
        <w:t xml:space="preserve">are considered in the </w:t>
      </w:r>
      <w:r w:rsidR="00F03D4D">
        <w:t xml:space="preserve">B2025 </w:t>
      </w:r>
      <w:r w:rsidR="00C95E2A">
        <w:t xml:space="preserve">Load &amp; Energy Forecast </w:t>
      </w:r>
      <w:r w:rsidR="0086396D">
        <w:t xml:space="preserve">in Technical Appendix Volume 1 and in the </w:t>
      </w:r>
      <w:r w:rsidR="004029C2">
        <w:t xml:space="preserve">Financial </w:t>
      </w:r>
      <w:r w:rsidR="004E2B74">
        <w:t xml:space="preserve">Review </w:t>
      </w:r>
      <w:r w:rsidR="0086396D">
        <w:t xml:space="preserve">in </w:t>
      </w:r>
      <w:r w:rsidR="004E2B74">
        <w:t>Technical Appendix Volume 2.</w:t>
      </w:r>
    </w:p>
    <w:p w14:paraId="6EDF5D97" w14:textId="54D3F893" w:rsidR="00203FB2" w:rsidRDefault="00203FB2" w:rsidP="00B50C1D">
      <w:pPr>
        <w:pStyle w:val="ListParagraph"/>
        <w:numPr>
          <w:ilvl w:val="0"/>
          <w:numId w:val="3"/>
        </w:numPr>
      </w:pPr>
      <w:r w:rsidRPr="006872CC">
        <w:rPr>
          <w:b/>
          <w:bCs/>
        </w:rPr>
        <w:t>Standard view</w:t>
      </w:r>
      <w:r>
        <w:t xml:space="preserve">. The Company </w:t>
      </w:r>
      <w:r w:rsidR="00B7716C">
        <w:t xml:space="preserve">annually </w:t>
      </w:r>
      <w:r>
        <w:t>updates its forecast of electricity consumption through the planning horizon. The forecast is done separately for each of the three types of customers</w:t>
      </w:r>
      <w:r w:rsidR="00B7255A">
        <w:t xml:space="preserve"> (i.e., </w:t>
      </w:r>
      <w:r>
        <w:t>residential, commercial, and industrial</w:t>
      </w:r>
      <w:r w:rsidR="00B7255A">
        <w:t xml:space="preserve">) </w:t>
      </w:r>
      <w:r>
        <w:t xml:space="preserve">for each of the three </w:t>
      </w:r>
      <w:r w:rsidR="00D64F00">
        <w:t xml:space="preserve">Southern Company </w:t>
      </w:r>
      <w:r w:rsidR="00C50874">
        <w:t xml:space="preserve">retail </w:t>
      </w:r>
      <w:r>
        <w:t xml:space="preserve">operating companies and is aggregated into a </w:t>
      </w:r>
      <w:r w:rsidR="00B45F35">
        <w:t>S</w:t>
      </w:r>
      <w:r>
        <w:t xml:space="preserve">ystem total for expansion </w:t>
      </w:r>
      <w:r>
        <w:lastRenderedPageBreak/>
        <w:t>modeling. This view of future load growth is used in most scenarios. This view includes significant growth of electricity consumption associated with commercial and industrial customers expected to initiate or expand operations as Company customers.</w:t>
      </w:r>
    </w:p>
    <w:p w14:paraId="4EA7F78E" w14:textId="7E695574" w:rsidR="00203FB2" w:rsidRPr="006872CC" w:rsidRDefault="00203FB2" w:rsidP="001B5BE5">
      <w:pPr>
        <w:pStyle w:val="ListParagraph"/>
        <w:numPr>
          <w:ilvl w:val="0"/>
          <w:numId w:val="3"/>
        </w:numPr>
      </w:pPr>
      <w:r w:rsidRPr="0060361F">
        <w:rPr>
          <w:b/>
          <w:bCs/>
        </w:rPr>
        <w:t xml:space="preserve">Standard </w:t>
      </w:r>
      <w:r w:rsidR="00C7608D">
        <w:rPr>
          <w:b/>
          <w:bCs/>
        </w:rPr>
        <w:t>with</w:t>
      </w:r>
      <w:r w:rsidRPr="0060361F">
        <w:rPr>
          <w:b/>
          <w:bCs/>
        </w:rPr>
        <w:t xml:space="preserve"> HG0 Delta</w:t>
      </w:r>
      <w:r w:rsidR="001B5BE5">
        <w:rPr>
          <w:b/>
          <w:bCs/>
        </w:rPr>
        <w:t xml:space="preserve"> view</w:t>
      </w:r>
      <w:r w:rsidRPr="006872CC">
        <w:t xml:space="preserve">. This view recognizes the relationship between the future consumption of electricity and the future price of natural gas. </w:t>
      </w:r>
      <w:r w:rsidR="005C5FCD">
        <w:t>T</w:t>
      </w:r>
      <w:r w:rsidRPr="006872CC">
        <w:t xml:space="preserve">he </w:t>
      </w:r>
      <w:r w:rsidR="005C5FCD">
        <w:t>C</w:t>
      </w:r>
      <w:r w:rsidRPr="006872CC">
        <w:t>ompany has developed a load growth adjustment</w:t>
      </w:r>
      <w:r w:rsidR="002E6FC6">
        <w:t xml:space="preserve">, </w:t>
      </w:r>
      <w:r w:rsidRPr="006872CC">
        <w:t>derived from analyses done by the U</w:t>
      </w:r>
      <w:r w:rsidR="0061595F">
        <w:t>.</w:t>
      </w:r>
      <w:r w:rsidRPr="006872CC">
        <w:t>S</w:t>
      </w:r>
      <w:r w:rsidR="0061595F">
        <w:t>.</w:t>
      </w:r>
      <w:r w:rsidRPr="006872CC">
        <w:t xml:space="preserve"> Energy Information Administration (</w:t>
      </w:r>
      <w:r w:rsidR="0060361F">
        <w:t>“</w:t>
      </w:r>
      <w:r w:rsidRPr="006872CC">
        <w:t>EIA</w:t>
      </w:r>
      <w:r w:rsidR="0060361F">
        <w:t>”</w:t>
      </w:r>
      <w:r w:rsidRPr="006872CC">
        <w:t>) for its Annual Energy Outlook (</w:t>
      </w:r>
      <w:r w:rsidR="0060361F">
        <w:t>“</w:t>
      </w:r>
      <w:r w:rsidRPr="006872CC">
        <w:t>AEO</w:t>
      </w:r>
      <w:r w:rsidR="0060361F">
        <w:t>”</w:t>
      </w:r>
      <w:r w:rsidRPr="006872CC">
        <w:t xml:space="preserve">). The AEO identifies a </w:t>
      </w:r>
      <w:r w:rsidR="00570207">
        <w:t xml:space="preserve">lower </w:t>
      </w:r>
      <w:r w:rsidRPr="006872CC">
        <w:t xml:space="preserve">electricity consumption path associated with </w:t>
      </w:r>
      <w:r w:rsidR="004C456F">
        <w:t>higher future</w:t>
      </w:r>
      <w:r w:rsidRPr="006872CC">
        <w:t xml:space="preserve"> natural gas </w:t>
      </w:r>
      <w:r w:rsidR="005E6324">
        <w:t>prices,</w:t>
      </w:r>
      <w:r w:rsidR="00691F0A">
        <w:t xml:space="preserve"> reflecting the important feedback in the relationship between fu</w:t>
      </w:r>
      <w:r w:rsidR="00D70E06">
        <w:t>ture natural gas prices and future load growth</w:t>
      </w:r>
      <w:r w:rsidR="00B02052">
        <w:t>.</w:t>
      </w:r>
      <w:r w:rsidRPr="006872CC">
        <w:t xml:space="preserve"> </w:t>
      </w:r>
    </w:p>
    <w:p w14:paraId="624899C9" w14:textId="70E10674" w:rsidR="00B032A1" w:rsidRPr="006872CC" w:rsidRDefault="00D649FA" w:rsidP="001228E7">
      <w:pPr>
        <w:pStyle w:val="ListParagraph"/>
      </w:pPr>
      <w:r w:rsidRPr="1DB4EC26">
        <w:rPr>
          <w:rFonts w:eastAsia="Cambria" w:cs="Cambria"/>
          <w:color w:val="000000" w:themeColor="text1"/>
        </w:rPr>
        <w:t>For the B2025 planning process, the Company compared southeast U.S. electricity load growth in the AEO 2023 case with a higher future price of natural gas to southeast U.S. electricity load growth in the AEO 2023 Reference case. This difference was smoothed and then used as an adjustment to the Company’s Standard load growth view.</w:t>
      </w:r>
    </w:p>
    <w:p w14:paraId="44F31AF8" w14:textId="47563B39" w:rsidR="00203FB2" w:rsidRDefault="00D9470F" w:rsidP="00D86E63">
      <w:r>
        <w:t>The</w:t>
      </w:r>
      <w:r w:rsidR="00394CC1">
        <w:t xml:space="preserve"> System</w:t>
      </w:r>
      <w:r>
        <w:t xml:space="preserve"> winter peak </w:t>
      </w:r>
      <w:r w:rsidR="00572C84">
        <w:t>load</w:t>
      </w:r>
      <w:r>
        <w:t xml:space="preserve"> associated with </w:t>
      </w:r>
      <w:r w:rsidR="00394CC1">
        <w:t xml:space="preserve">both </w:t>
      </w:r>
      <w:r w:rsidR="00203FB2">
        <w:t>views of future load growth</w:t>
      </w:r>
      <w:r w:rsidR="00667E0E">
        <w:t xml:space="preserve"> in the Mix Study</w:t>
      </w:r>
      <w:r w:rsidR="00203FB2">
        <w:t xml:space="preserve"> </w:t>
      </w:r>
      <w:r w:rsidR="00572C84">
        <w:t>are</w:t>
      </w:r>
      <w:r w:rsidR="00203FB2">
        <w:t xml:space="preserve"> illustrated in </w:t>
      </w:r>
      <w:r w:rsidR="00884A86">
        <w:t xml:space="preserve">Figure </w:t>
      </w:r>
      <w:r w:rsidR="00A8432B">
        <w:t>4</w:t>
      </w:r>
      <w:r w:rsidR="00203FB2">
        <w:t xml:space="preserve">. </w:t>
      </w:r>
    </w:p>
    <w:p w14:paraId="681EA790" w14:textId="539EC032" w:rsidR="00C70FDB" w:rsidRPr="00E423B8" w:rsidRDefault="00C70FDB" w:rsidP="00A65265">
      <w:pPr>
        <w:pStyle w:val="Caption"/>
        <w:rPr>
          <w:rStyle w:val="CommentReference"/>
          <w:i w:val="0"/>
          <w:iCs w:val="0"/>
          <w:color w:val="auto"/>
          <w:sz w:val="20"/>
          <w:szCs w:val="20"/>
        </w:rPr>
      </w:pPr>
      <w:r w:rsidRPr="00852ABD">
        <w:lastRenderedPageBreak/>
        <w:t xml:space="preserve">Figure </w:t>
      </w:r>
      <w:r>
        <w:fldChar w:fldCharType="begin"/>
      </w:r>
      <w:r>
        <w:instrText xml:space="preserve"> SEQ Figure \* ARABIC </w:instrText>
      </w:r>
      <w:r>
        <w:fldChar w:fldCharType="separate"/>
      </w:r>
      <w:r w:rsidRPr="00852ABD">
        <w:t>4</w:t>
      </w:r>
      <w:r>
        <w:fldChar w:fldCharType="end"/>
      </w:r>
      <w:r w:rsidRPr="00852ABD">
        <w:t xml:space="preserve">: </w:t>
      </w:r>
      <w:r w:rsidR="0053609A" w:rsidRPr="00852ABD">
        <w:t xml:space="preserve">Views of </w:t>
      </w:r>
      <w:r w:rsidR="00D923A3" w:rsidRPr="00852ABD">
        <w:t xml:space="preserve">System </w:t>
      </w:r>
      <w:r w:rsidRPr="00852ABD">
        <w:t xml:space="preserve">Winter Peak </w:t>
      </w:r>
      <w:r w:rsidR="0095600A" w:rsidRPr="00852ABD">
        <w:t>Load</w:t>
      </w:r>
      <w:r w:rsidRPr="00852ABD">
        <w:t xml:space="preserve"> (MW)</w:t>
      </w:r>
    </w:p>
    <w:p w14:paraId="7284E228" w14:textId="53A4C0CF" w:rsidR="00AC6E55" w:rsidRDefault="00E423B8" w:rsidP="00E423B8">
      <w:pPr>
        <w:keepNext/>
        <w:jc w:val="center"/>
      </w:pPr>
      <w:r>
        <w:rPr>
          <w:noProof/>
        </w:rPr>
        <w:drawing>
          <wp:inline distT="0" distB="0" distL="0" distR="0" wp14:anchorId="7180F934" wp14:editId="1F820F35">
            <wp:extent cx="5688330" cy="3206750"/>
            <wp:effectExtent l="0" t="0" r="0" b="0"/>
            <wp:docPr id="110952765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88330" cy="3206750"/>
                    </a:xfrm>
                    <a:prstGeom prst="rect">
                      <a:avLst/>
                    </a:prstGeom>
                    <a:noFill/>
                    <a:ln w="28575">
                      <a:noFill/>
                    </a:ln>
                  </pic:spPr>
                </pic:pic>
              </a:graphicData>
            </a:graphic>
          </wp:inline>
        </w:drawing>
      </w:r>
    </w:p>
    <w:p w14:paraId="55343A0E" w14:textId="79A1E93D" w:rsidR="007A2BB3" w:rsidRDefault="006962F4" w:rsidP="00D86E63">
      <w:pPr>
        <w:pStyle w:val="Heading3"/>
      </w:pPr>
      <w:bookmarkStart w:id="7" w:name="_Toc188405622"/>
      <w:r>
        <w:t xml:space="preserve">2.2.4 </w:t>
      </w:r>
      <w:r w:rsidR="00203FB2">
        <w:t>Fuel Price</w:t>
      </w:r>
      <w:r>
        <w:t xml:space="preserve"> Views</w:t>
      </w:r>
      <w:bookmarkEnd w:id="7"/>
    </w:p>
    <w:p w14:paraId="79D63099" w14:textId="78D0E311" w:rsidR="00D56D25" w:rsidRDefault="00D56D25" w:rsidP="00D56D25">
      <w:pPr>
        <w:rPr>
          <w:rFonts w:eastAsia="Cambria" w:cs="Cambria"/>
          <w:color w:val="000000" w:themeColor="text1"/>
        </w:rPr>
      </w:pPr>
      <w:r w:rsidRPr="00AA472B">
        <w:rPr>
          <w:rFonts w:eastAsia="Cambria" w:cs="Cambria"/>
          <w:color w:val="000000" w:themeColor="text1"/>
        </w:rPr>
        <w:t xml:space="preserve">The </w:t>
      </w:r>
      <w:r>
        <w:rPr>
          <w:rFonts w:eastAsia="Cambria" w:cs="Cambria"/>
          <w:color w:val="000000" w:themeColor="text1"/>
        </w:rPr>
        <w:t>future</w:t>
      </w:r>
      <w:r w:rsidRPr="00AA472B">
        <w:rPr>
          <w:rFonts w:eastAsia="Cambria" w:cs="Cambria"/>
          <w:color w:val="000000" w:themeColor="text1"/>
        </w:rPr>
        <w:t xml:space="preserve"> price of fuel is unknown. For the B2025 planning process, the </w:t>
      </w:r>
      <w:r>
        <w:rPr>
          <w:rFonts w:eastAsia="Cambria" w:cs="Cambria"/>
          <w:color w:val="000000" w:themeColor="text1"/>
        </w:rPr>
        <w:t>C</w:t>
      </w:r>
      <w:r w:rsidRPr="00AA472B">
        <w:rPr>
          <w:rFonts w:eastAsia="Cambria" w:cs="Cambria"/>
          <w:color w:val="000000" w:themeColor="text1"/>
        </w:rPr>
        <w:t xml:space="preserve">ompany considered three different views of how the long-term price of fuels could evolve: a </w:t>
      </w:r>
      <w:r w:rsidR="00B77CB1" w:rsidRPr="00B50C1D">
        <w:rPr>
          <w:rFonts w:eastAsia="Cambria" w:cs="Cambria"/>
          <w:i/>
          <w:iCs/>
          <w:color w:val="000000" w:themeColor="text1"/>
        </w:rPr>
        <w:t>L</w:t>
      </w:r>
      <w:r w:rsidRPr="00B50C1D">
        <w:rPr>
          <w:rFonts w:eastAsia="Cambria" w:cs="Cambria"/>
          <w:i/>
          <w:iCs/>
          <w:color w:val="000000" w:themeColor="text1"/>
        </w:rPr>
        <w:t>ower</w:t>
      </w:r>
      <w:r w:rsidRPr="00AA472B">
        <w:rPr>
          <w:rFonts w:eastAsia="Cambria" w:cs="Cambria"/>
          <w:color w:val="000000" w:themeColor="text1"/>
        </w:rPr>
        <w:t xml:space="preserve"> price path, a </w:t>
      </w:r>
      <w:r w:rsidR="00B77CB1" w:rsidRPr="00B50C1D">
        <w:rPr>
          <w:rFonts w:eastAsia="Cambria" w:cs="Cambria"/>
          <w:i/>
          <w:iCs/>
          <w:color w:val="000000" w:themeColor="text1"/>
        </w:rPr>
        <w:t>M</w:t>
      </w:r>
      <w:r w:rsidRPr="00B50C1D">
        <w:rPr>
          <w:rFonts w:eastAsia="Cambria" w:cs="Cambria"/>
          <w:i/>
          <w:iCs/>
          <w:color w:val="000000" w:themeColor="text1"/>
        </w:rPr>
        <w:t>oderate</w:t>
      </w:r>
      <w:r w:rsidRPr="00AA472B">
        <w:rPr>
          <w:rFonts w:eastAsia="Cambria" w:cs="Cambria"/>
          <w:color w:val="000000" w:themeColor="text1"/>
        </w:rPr>
        <w:t xml:space="preserve"> price path</w:t>
      </w:r>
      <w:r>
        <w:rPr>
          <w:rFonts w:eastAsia="Cambria" w:cs="Cambria"/>
          <w:color w:val="000000" w:themeColor="text1"/>
        </w:rPr>
        <w:t>,</w:t>
      </w:r>
      <w:r w:rsidRPr="00AA472B">
        <w:rPr>
          <w:rFonts w:eastAsia="Cambria" w:cs="Cambria"/>
          <w:color w:val="000000" w:themeColor="text1"/>
        </w:rPr>
        <w:t xml:space="preserve"> and a </w:t>
      </w:r>
      <w:proofErr w:type="gramStart"/>
      <w:r w:rsidR="00B77CB1" w:rsidRPr="00B50C1D">
        <w:rPr>
          <w:rFonts w:eastAsia="Cambria" w:cs="Cambria"/>
          <w:i/>
          <w:iCs/>
          <w:color w:val="000000" w:themeColor="text1"/>
        </w:rPr>
        <w:t>H</w:t>
      </w:r>
      <w:r w:rsidRPr="00B50C1D">
        <w:rPr>
          <w:rFonts w:eastAsia="Cambria" w:cs="Cambria"/>
          <w:i/>
          <w:iCs/>
          <w:color w:val="000000" w:themeColor="text1"/>
        </w:rPr>
        <w:t>igher</w:t>
      </w:r>
      <w:proofErr w:type="gramEnd"/>
      <w:r w:rsidRPr="00AA472B">
        <w:rPr>
          <w:rFonts w:eastAsia="Cambria" w:cs="Cambria"/>
          <w:color w:val="000000" w:themeColor="text1"/>
        </w:rPr>
        <w:t xml:space="preserve"> price path. For B2025, the </w:t>
      </w:r>
      <w:r>
        <w:rPr>
          <w:rFonts w:eastAsia="Cambria" w:cs="Cambria"/>
          <w:color w:val="000000" w:themeColor="text1"/>
        </w:rPr>
        <w:t>C</w:t>
      </w:r>
      <w:r w:rsidRPr="00392336">
        <w:rPr>
          <w:rFonts w:eastAsia="Cambria" w:cs="Cambria"/>
          <w:color w:val="000000" w:themeColor="text1"/>
        </w:rPr>
        <w:t>ompany adopted paths produced by the U</w:t>
      </w:r>
      <w:r>
        <w:rPr>
          <w:rFonts w:eastAsia="Cambria" w:cs="Cambria"/>
          <w:color w:val="000000" w:themeColor="text1"/>
        </w:rPr>
        <w:t>.</w:t>
      </w:r>
      <w:r w:rsidRPr="00392336">
        <w:rPr>
          <w:rFonts w:eastAsia="Cambria" w:cs="Cambria"/>
          <w:color w:val="000000" w:themeColor="text1"/>
        </w:rPr>
        <w:t>S</w:t>
      </w:r>
      <w:r>
        <w:rPr>
          <w:rFonts w:eastAsia="Cambria" w:cs="Cambria"/>
          <w:color w:val="000000" w:themeColor="text1"/>
        </w:rPr>
        <w:t>.</w:t>
      </w:r>
      <w:r w:rsidRPr="00392336">
        <w:rPr>
          <w:rFonts w:eastAsia="Cambria" w:cs="Cambria"/>
          <w:color w:val="000000" w:themeColor="text1"/>
        </w:rPr>
        <w:t xml:space="preserve"> EIA in its 2023 AEO as its source for </w:t>
      </w:r>
      <w:r w:rsidR="00205231">
        <w:rPr>
          <w:rFonts w:eastAsia="Cambria" w:cs="Cambria"/>
          <w:color w:val="000000" w:themeColor="text1"/>
        </w:rPr>
        <w:t xml:space="preserve">long-term </w:t>
      </w:r>
      <w:r w:rsidRPr="00392336">
        <w:rPr>
          <w:rFonts w:eastAsia="Cambria" w:cs="Cambria"/>
          <w:color w:val="000000" w:themeColor="text1"/>
        </w:rPr>
        <w:t xml:space="preserve">future prices of natural gas, coal, and oil. </w:t>
      </w:r>
      <w:r w:rsidR="00A30DE2" w:rsidRPr="00392336">
        <w:rPr>
          <w:rFonts w:eastAsia="Cambria" w:cs="Cambria"/>
          <w:color w:val="000000" w:themeColor="text1"/>
        </w:rPr>
        <w:t>The AEO is a major annual product of the EIA</w:t>
      </w:r>
      <w:r w:rsidR="00A30DE2" w:rsidRPr="02B670CB">
        <w:rPr>
          <w:rFonts w:eastAsia="Cambria" w:cs="Cambria"/>
          <w:color w:val="000000" w:themeColor="text1"/>
        </w:rPr>
        <w:t xml:space="preserve"> and is</w:t>
      </w:r>
      <w:r w:rsidR="00A30DE2" w:rsidDel="014259A8">
        <w:rPr>
          <w:rFonts w:eastAsia="Cambria" w:cs="Cambria"/>
          <w:color w:val="000000" w:themeColor="text1"/>
        </w:rPr>
        <w:t xml:space="preserve"> </w:t>
      </w:r>
      <w:r w:rsidR="00A30DE2" w:rsidRPr="02B670CB">
        <w:rPr>
          <w:rFonts w:eastAsia="Cambria" w:cs="Cambria"/>
          <w:color w:val="000000" w:themeColor="text1"/>
        </w:rPr>
        <w:t>publicly</w:t>
      </w:r>
      <w:r w:rsidR="00A30DE2" w:rsidRPr="00392336">
        <w:rPr>
          <w:rFonts w:eastAsia="Cambria" w:cs="Cambria"/>
          <w:color w:val="000000" w:themeColor="text1"/>
        </w:rPr>
        <w:t xml:space="preserve"> available on the EIA’s website (</w:t>
      </w:r>
      <w:hyperlink r:id="rId21" w:history="1">
        <w:r w:rsidR="00A30DE2" w:rsidRPr="00392336">
          <w:rPr>
            <w:rStyle w:val="Hyperlink"/>
            <w:rFonts w:eastAsia="Cambria" w:cs="Cambria"/>
          </w:rPr>
          <w:t>https://www.eia.gov</w:t>
        </w:r>
      </w:hyperlink>
      <w:r w:rsidR="00A30DE2" w:rsidRPr="00392336">
        <w:rPr>
          <w:rFonts w:eastAsia="Cambria" w:cs="Cambria"/>
          <w:color w:val="000000" w:themeColor="text1"/>
        </w:rPr>
        <w:t>).</w:t>
      </w:r>
      <w:r w:rsidR="00A30DE2">
        <w:rPr>
          <w:rFonts w:eastAsia="Cambria" w:cs="Cambria"/>
          <w:color w:val="000000" w:themeColor="text1"/>
        </w:rPr>
        <w:t xml:space="preserve"> </w:t>
      </w:r>
      <w:r w:rsidRPr="00392336">
        <w:rPr>
          <w:rFonts w:eastAsia="Cambria" w:cs="Cambria"/>
          <w:color w:val="000000" w:themeColor="text1"/>
        </w:rPr>
        <w:t xml:space="preserve">EIA did not produce a 2024 </w:t>
      </w:r>
      <w:r>
        <w:rPr>
          <w:rFonts w:eastAsia="Cambria" w:cs="Cambria"/>
          <w:color w:val="000000" w:themeColor="text1"/>
        </w:rPr>
        <w:t>AEO,</w:t>
      </w:r>
      <w:r w:rsidRPr="00392336">
        <w:rPr>
          <w:rFonts w:eastAsia="Cambria" w:cs="Cambria"/>
          <w:color w:val="000000" w:themeColor="text1"/>
        </w:rPr>
        <w:t xml:space="preserve"> so the 2023 AEO is EIA’s current view.</w:t>
      </w:r>
    </w:p>
    <w:p w14:paraId="163C08BD" w14:textId="77777777" w:rsidR="00455101" w:rsidRPr="00392336" w:rsidRDefault="00455101" w:rsidP="009F71DC">
      <w:pPr>
        <w:spacing w:after="0"/>
        <w:rPr>
          <w:rFonts w:eastAsia="Cambria" w:cs="Cambria"/>
          <w:color w:val="000000" w:themeColor="text1"/>
        </w:rPr>
      </w:pPr>
      <w:r w:rsidRPr="00392336">
        <w:rPr>
          <w:rFonts w:eastAsia="Cambria" w:cs="Cambria"/>
          <w:color w:val="000000" w:themeColor="text1"/>
        </w:rPr>
        <w:t>For B2025</w:t>
      </w:r>
      <w:r>
        <w:rPr>
          <w:rFonts w:eastAsia="Cambria" w:cs="Cambria"/>
          <w:color w:val="000000" w:themeColor="text1"/>
        </w:rPr>
        <w:t>,</w:t>
      </w:r>
      <w:r w:rsidRPr="00A83AFF">
        <w:rPr>
          <w:rFonts w:eastAsia="Cambria" w:cs="Cambria"/>
          <w:color w:val="000000" w:themeColor="text1"/>
        </w:rPr>
        <w:t xml:space="preserve"> the three different views of long-term future natural gas prices that the </w:t>
      </w:r>
      <w:r>
        <w:rPr>
          <w:rFonts w:eastAsia="Cambria" w:cs="Cambria"/>
          <w:color w:val="000000" w:themeColor="text1"/>
        </w:rPr>
        <w:t>C</w:t>
      </w:r>
      <w:r w:rsidRPr="00A83AFF">
        <w:rPr>
          <w:rFonts w:eastAsia="Cambria" w:cs="Cambria"/>
          <w:color w:val="000000" w:themeColor="text1"/>
        </w:rPr>
        <w:t>ompany</w:t>
      </w:r>
      <w:r w:rsidRPr="00392336">
        <w:rPr>
          <w:rFonts w:eastAsia="Cambria" w:cs="Cambria"/>
          <w:color w:val="000000" w:themeColor="text1"/>
        </w:rPr>
        <w:t xml:space="preserve"> adopted are: </w:t>
      </w:r>
    </w:p>
    <w:p w14:paraId="1827F0E9" w14:textId="77777777" w:rsidR="00455101" w:rsidRPr="00392336" w:rsidRDefault="00455101" w:rsidP="00455101">
      <w:pPr>
        <w:pStyle w:val="ListParagraph"/>
        <w:numPr>
          <w:ilvl w:val="0"/>
          <w:numId w:val="8"/>
        </w:numPr>
        <w:spacing w:line="259" w:lineRule="auto"/>
        <w:rPr>
          <w:rFonts w:eastAsia="Cambria" w:cs="Cambria"/>
          <w:color w:val="000000" w:themeColor="text1"/>
        </w:rPr>
      </w:pPr>
      <w:r w:rsidRPr="009F71DC">
        <w:rPr>
          <w:rFonts w:eastAsia="Cambria" w:cs="Cambria"/>
          <w:i/>
          <w:iCs/>
          <w:color w:val="000000" w:themeColor="text1"/>
        </w:rPr>
        <w:t>Lower</w:t>
      </w:r>
      <w:r w:rsidRPr="00392336">
        <w:rPr>
          <w:rFonts w:eastAsia="Cambria" w:cs="Cambria"/>
          <w:color w:val="000000" w:themeColor="text1"/>
        </w:rPr>
        <w:t xml:space="preserve"> price view: AEO’s High Oil and Gas Supply case</w:t>
      </w:r>
    </w:p>
    <w:p w14:paraId="4F51E19A" w14:textId="77777777" w:rsidR="00455101" w:rsidRPr="00392336" w:rsidRDefault="00455101" w:rsidP="00455101">
      <w:pPr>
        <w:pStyle w:val="ListParagraph"/>
        <w:numPr>
          <w:ilvl w:val="0"/>
          <w:numId w:val="8"/>
        </w:numPr>
        <w:spacing w:line="259" w:lineRule="auto"/>
        <w:rPr>
          <w:rFonts w:eastAsia="Cambria" w:cs="Cambria"/>
          <w:color w:val="000000" w:themeColor="text1"/>
        </w:rPr>
      </w:pPr>
      <w:r w:rsidRPr="009F71DC">
        <w:rPr>
          <w:rFonts w:eastAsia="Cambria" w:cs="Cambria"/>
          <w:i/>
          <w:iCs/>
          <w:color w:val="000000" w:themeColor="text1"/>
        </w:rPr>
        <w:t>Moderate</w:t>
      </w:r>
      <w:r w:rsidRPr="00392336">
        <w:rPr>
          <w:rFonts w:eastAsia="Cambria" w:cs="Cambria"/>
          <w:color w:val="000000" w:themeColor="text1"/>
        </w:rPr>
        <w:t xml:space="preserve"> price view: AEO’s Reference case</w:t>
      </w:r>
    </w:p>
    <w:p w14:paraId="1348AB50" w14:textId="77777777" w:rsidR="00455101" w:rsidRPr="00392336" w:rsidRDefault="00455101" w:rsidP="00455101">
      <w:pPr>
        <w:pStyle w:val="ListParagraph"/>
        <w:numPr>
          <w:ilvl w:val="0"/>
          <w:numId w:val="8"/>
        </w:numPr>
        <w:spacing w:line="259" w:lineRule="auto"/>
        <w:rPr>
          <w:rFonts w:eastAsia="Cambria" w:cs="Cambria"/>
          <w:color w:val="000000" w:themeColor="text1"/>
        </w:rPr>
      </w:pPr>
      <w:r w:rsidRPr="009F71DC">
        <w:rPr>
          <w:rFonts w:eastAsia="Cambria" w:cs="Cambria"/>
          <w:i/>
          <w:iCs/>
          <w:color w:val="000000" w:themeColor="text1"/>
        </w:rPr>
        <w:t>Higher</w:t>
      </w:r>
      <w:r w:rsidRPr="00392336">
        <w:rPr>
          <w:rFonts w:eastAsia="Cambria" w:cs="Cambria"/>
          <w:color w:val="000000" w:themeColor="text1"/>
        </w:rPr>
        <w:t xml:space="preserve"> price view: AEO’s Low Oil and Gas Supply case</w:t>
      </w:r>
    </w:p>
    <w:p w14:paraId="354DD5D3" w14:textId="77777777" w:rsidR="00C011B0" w:rsidRPr="00392336" w:rsidRDefault="00C011B0" w:rsidP="00C011B0">
      <w:pPr>
        <w:rPr>
          <w:rFonts w:eastAsia="Cambria" w:cs="Cambria"/>
          <w:color w:val="000000" w:themeColor="text1"/>
        </w:rPr>
      </w:pPr>
      <w:r w:rsidRPr="00392336">
        <w:rPr>
          <w:rFonts w:eastAsia="Cambria" w:cs="Cambria"/>
          <w:color w:val="000000" w:themeColor="text1"/>
        </w:rPr>
        <w:t xml:space="preserve">Estimates of technically recoverable tight/shale oil and natural gas resources are particularly uncertain and change over time as new information is gained through drilling, production, and technology development. </w:t>
      </w:r>
      <w:r>
        <w:rPr>
          <w:rFonts w:eastAsia="Cambria" w:cs="Cambria"/>
          <w:color w:val="000000" w:themeColor="text1"/>
        </w:rPr>
        <w:t>AEO’s</w:t>
      </w:r>
      <w:r w:rsidRPr="00392336">
        <w:rPr>
          <w:rFonts w:eastAsia="Cambria" w:cs="Cambria"/>
          <w:color w:val="000000" w:themeColor="text1"/>
        </w:rPr>
        <w:t xml:space="preserve"> “High Oil and Gas Supply” and “Low Oil and Gas Supply” views </w:t>
      </w:r>
      <w:r>
        <w:rPr>
          <w:rFonts w:eastAsia="Cambria" w:cs="Cambria"/>
          <w:color w:val="000000" w:themeColor="text1"/>
        </w:rPr>
        <w:t xml:space="preserve">appropriately </w:t>
      </w:r>
      <w:r w:rsidRPr="00392336">
        <w:rPr>
          <w:rFonts w:eastAsia="Cambria" w:cs="Cambria"/>
          <w:color w:val="000000" w:themeColor="text1"/>
        </w:rPr>
        <w:t xml:space="preserve">reflect this uncertainty. </w:t>
      </w:r>
    </w:p>
    <w:p w14:paraId="0610DAB2" w14:textId="77777777" w:rsidR="00C011B0" w:rsidRPr="00A83AFF" w:rsidRDefault="00C011B0" w:rsidP="00C011B0">
      <w:pPr>
        <w:rPr>
          <w:rFonts w:eastAsia="Cambria" w:cs="Cambria"/>
          <w:color w:val="000000" w:themeColor="text1"/>
        </w:rPr>
      </w:pPr>
      <w:r w:rsidRPr="00392336">
        <w:rPr>
          <w:rFonts w:eastAsia="Cambria" w:cs="Cambria"/>
          <w:color w:val="000000" w:themeColor="text1"/>
        </w:rPr>
        <w:lastRenderedPageBreak/>
        <w:t>In AEO’s Low Oil and Gas Supply case</w:t>
      </w:r>
      <w:r>
        <w:rPr>
          <w:rFonts w:eastAsia="Cambria" w:cs="Cambria"/>
          <w:color w:val="000000" w:themeColor="text1"/>
        </w:rPr>
        <w:t>,</w:t>
      </w:r>
      <w:r w:rsidRPr="00A83AFF">
        <w:rPr>
          <w:rFonts w:eastAsia="Cambria" w:cs="Cambria"/>
          <w:color w:val="000000" w:themeColor="text1"/>
        </w:rPr>
        <w:t xml:space="preserve"> the estimated ultimate recovery per well is assumed to be 50% </w:t>
      </w:r>
      <w:r w:rsidRPr="003D33D4">
        <w:rPr>
          <w:rFonts w:eastAsia="Cambria" w:cs="Cambria"/>
          <w:iCs/>
          <w:color w:val="000000" w:themeColor="text1"/>
        </w:rPr>
        <w:t>lower</w:t>
      </w:r>
      <w:r w:rsidRPr="00392336">
        <w:rPr>
          <w:rFonts w:eastAsia="Cambria" w:cs="Cambria"/>
          <w:color w:val="000000" w:themeColor="text1"/>
        </w:rPr>
        <w:t xml:space="preserve"> than in the Reference case for tight oil, tight gas, shale gas in the </w:t>
      </w:r>
      <w:r>
        <w:rPr>
          <w:rFonts w:eastAsia="Cambria" w:cs="Cambria"/>
          <w:color w:val="000000" w:themeColor="text1"/>
        </w:rPr>
        <w:t>U.S., for</w:t>
      </w:r>
      <w:r w:rsidRPr="00A83AFF">
        <w:rPr>
          <w:rFonts w:eastAsia="Cambria" w:cs="Cambria"/>
          <w:color w:val="000000" w:themeColor="text1"/>
        </w:rPr>
        <w:t xml:space="preserve"> undiscovered resources in Alaska</w:t>
      </w:r>
      <w:r>
        <w:rPr>
          <w:rFonts w:eastAsia="Cambria" w:cs="Cambria"/>
          <w:color w:val="000000" w:themeColor="text1"/>
        </w:rPr>
        <w:t>,</w:t>
      </w:r>
      <w:r w:rsidRPr="00392336">
        <w:rPr>
          <w:rFonts w:eastAsia="Cambria" w:cs="Cambria"/>
          <w:color w:val="000000" w:themeColor="text1"/>
        </w:rPr>
        <w:t xml:space="preserve"> and </w:t>
      </w:r>
      <w:r>
        <w:rPr>
          <w:rFonts w:eastAsia="Cambria" w:cs="Cambria"/>
          <w:color w:val="000000" w:themeColor="text1"/>
        </w:rPr>
        <w:t xml:space="preserve">for production </w:t>
      </w:r>
      <w:r w:rsidRPr="00392336">
        <w:rPr>
          <w:rFonts w:eastAsia="Cambria" w:cs="Cambria"/>
          <w:color w:val="000000" w:themeColor="text1"/>
        </w:rPr>
        <w:t xml:space="preserve">offshore </w:t>
      </w:r>
      <w:r>
        <w:rPr>
          <w:rFonts w:eastAsia="Cambria" w:cs="Cambria"/>
          <w:color w:val="000000" w:themeColor="text1"/>
        </w:rPr>
        <w:t xml:space="preserve">of the </w:t>
      </w:r>
      <w:r w:rsidRPr="00A83AFF">
        <w:rPr>
          <w:rFonts w:eastAsia="Cambria" w:cs="Cambria"/>
          <w:color w:val="000000" w:themeColor="text1"/>
        </w:rPr>
        <w:t>Lower 48 states</w:t>
      </w:r>
      <w:r w:rsidRPr="00392336">
        <w:rPr>
          <w:rFonts w:eastAsia="Cambria" w:cs="Cambria"/>
          <w:color w:val="000000" w:themeColor="text1"/>
        </w:rPr>
        <w:t xml:space="preserve">. Rates of technological improvement that reduce costs and increase productivity in the </w:t>
      </w:r>
      <w:r>
        <w:rPr>
          <w:rFonts w:eastAsia="Cambria" w:cs="Cambria"/>
          <w:color w:val="000000" w:themeColor="text1"/>
        </w:rPr>
        <w:t>U.S.</w:t>
      </w:r>
      <w:r w:rsidRPr="00A83AFF">
        <w:rPr>
          <w:rFonts w:eastAsia="Cambria" w:cs="Cambria"/>
          <w:color w:val="000000" w:themeColor="text1"/>
        </w:rPr>
        <w:t xml:space="preserve"> are also 50% lower than in the Reference case. These assumptions increase the per-unit cost of crude oil and natural gas development in the </w:t>
      </w:r>
      <w:r>
        <w:rPr>
          <w:rFonts w:eastAsia="Cambria" w:cs="Cambria"/>
          <w:color w:val="000000" w:themeColor="text1"/>
        </w:rPr>
        <w:t>U.S</w:t>
      </w:r>
      <w:r w:rsidRPr="00392336">
        <w:rPr>
          <w:rFonts w:eastAsia="Cambria" w:cs="Cambria"/>
          <w:color w:val="000000" w:themeColor="text1"/>
        </w:rPr>
        <w:t xml:space="preserve">. </w:t>
      </w:r>
    </w:p>
    <w:p w14:paraId="4FA28660" w14:textId="77777777" w:rsidR="00C011B0" w:rsidRPr="00A83AFF" w:rsidRDefault="00C011B0" w:rsidP="00C011B0">
      <w:pPr>
        <w:rPr>
          <w:rFonts w:eastAsia="Arial" w:cs="Arial"/>
          <w:color w:val="333333"/>
        </w:rPr>
      </w:pPr>
      <w:r w:rsidRPr="00A83AFF">
        <w:rPr>
          <w:rFonts w:eastAsia="Cambria" w:cs="Cambria"/>
          <w:color w:val="000000" w:themeColor="text1"/>
        </w:rPr>
        <w:t>In AEO’s High Oil and Gas Supply case</w:t>
      </w:r>
      <w:r>
        <w:rPr>
          <w:rFonts w:eastAsia="Cambria" w:cs="Cambria"/>
          <w:color w:val="000000" w:themeColor="text1"/>
        </w:rPr>
        <w:t>,</w:t>
      </w:r>
      <w:r w:rsidRPr="00A83AFF">
        <w:rPr>
          <w:rFonts w:eastAsia="Cambria" w:cs="Cambria"/>
          <w:color w:val="000000" w:themeColor="text1"/>
        </w:rPr>
        <w:t xml:space="preserve"> the estimated ultimate recovery per well is assumed to be 50% </w:t>
      </w:r>
      <w:r w:rsidRPr="003D33D4">
        <w:rPr>
          <w:rFonts w:eastAsia="Cambria" w:cs="Cambria"/>
          <w:iCs/>
          <w:color w:val="000000" w:themeColor="text1"/>
        </w:rPr>
        <w:t>higher</w:t>
      </w:r>
      <w:r w:rsidRPr="00A83AFF">
        <w:rPr>
          <w:rFonts w:eastAsia="Cambria" w:cs="Cambria"/>
          <w:color w:val="000000" w:themeColor="text1"/>
        </w:rPr>
        <w:t xml:space="preserve"> than in the Reference case for tight oil, tight gas, shale gas in the U</w:t>
      </w:r>
      <w:r>
        <w:rPr>
          <w:rFonts w:eastAsia="Cambria" w:cs="Cambria"/>
          <w:color w:val="000000" w:themeColor="text1"/>
        </w:rPr>
        <w:t xml:space="preserve">.S. for </w:t>
      </w:r>
      <w:r w:rsidRPr="00A83AFF">
        <w:rPr>
          <w:rFonts w:eastAsia="Cambria" w:cs="Cambria"/>
          <w:color w:val="000000" w:themeColor="text1"/>
        </w:rPr>
        <w:t>undiscovered resources in Alaska</w:t>
      </w:r>
      <w:r>
        <w:rPr>
          <w:rFonts w:eastAsia="Cambria" w:cs="Cambria"/>
          <w:color w:val="000000" w:themeColor="text1"/>
        </w:rPr>
        <w:t>,</w:t>
      </w:r>
      <w:r w:rsidRPr="00A83AFF">
        <w:rPr>
          <w:rFonts w:eastAsia="Cambria" w:cs="Cambria"/>
          <w:color w:val="000000" w:themeColor="text1"/>
        </w:rPr>
        <w:t xml:space="preserve"> and </w:t>
      </w:r>
      <w:r>
        <w:rPr>
          <w:rFonts w:eastAsia="Cambria" w:cs="Cambria"/>
          <w:color w:val="000000" w:themeColor="text1"/>
        </w:rPr>
        <w:t xml:space="preserve">for production </w:t>
      </w:r>
      <w:r w:rsidRPr="00A83AFF">
        <w:rPr>
          <w:rFonts w:eastAsia="Cambria" w:cs="Cambria"/>
          <w:color w:val="000000" w:themeColor="text1"/>
        </w:rPr>
        <w:t>offshore</w:t>
      </w:r>
      <w:r>
        <w:rPr>
          <w:rFonts w:eastAsia="Cambria" w:cs="Cambria"/>
          <w:color w:val="000000" w:themeColor="text1"/>
        </w:rPr>
        <w:t xml:space="preserve"> of the</w:t>
      </w:r>
      <w:r w:rsidRPr="00A83AFF">
        <w:rPr>
          <w:rFonts w:eastAsia="Cambria" w:cs="Cambria"/>
          <w:color w:val="000000" w:themeColor="text1"/>
        </w:rPr>
        <w:t xml:space="preserve"> Lower 48 states. Rates of technological improvement that reduce costs and increase productivity in the </w:t>
      </w:r>
      <w:r>
        <w:rPr>
          <w:rFonts w:eastAsia="Cambria" w:cs="Cambria"/>
          <w:color w:val="000000" w:themeColor="text1"/>
        </w:rPr>
        <w:t>U.S.</w:t>
      </w:r>
      <w:r w:rsidRPr="00A83AFF">
        <w:rPr>
          <w:rFonts w:eastAsia="Cambria" w:cs="Cambria"/>
          <w:color w:val="000000" w:themeColor="text1"/>
        </w:rPr>
        <w:t xml:space="preserve"> are also 50% higher than in the Reference case. These assumptions decrease the per-unit cost of crude oil and natural gas development in the </w:t>
      </w:r>
      <w:r>
        <w:rPr>
          <w:rFonts w:eastAsia="Cambria" w:cs="Cambria"/>
          <w:color w:val="000000" w:themeColor="text1"/>
        </w:rPr>
        <w:t>U.S</w:t>
      </w:r>
      <w:r w:rsidRPr="00A83AFF">
        <w:rPr>
          <w:rFonts w:eastAsia="Cambria" w:cs="Cambria"/>
          <w:color w:val="000000" w:themeColor="text1"/>
        </w:rPr>
        <w:t>. In addition, tight oil and shale gas resources are added to reflect new prospects or the expansion of known prospects. Rates of technological improvement that reduce costs and increase productivity in the United States are also 50% higher than in the Reference case</w:t>
      </w:r>
      <w:r w:rsidRPr="00A83AFF">
        <w:rPr>
          <w:rFonts w:eastAsia="Arial" w:cs="Arial"/>
          <w:color w:val="333333"/>
        </w:rPr>
        <w:t xml:space="preserve">. </w:t>
      </w:r>
    </w:p>
    <w:p w14:paraId="2909F50E" w14:textId="3C2D8CB6" w:rsidR="00C011B0" w:rsidRPr="00A83AFF" w:rsidRDefault="00C011B0" w:rsidP="00C011B0">
      <w:pPr>
        <w:rPr>
          <w:rFonts w:eastAsia="Cambria" w:cs="Cambria"/>
          <w:color w:val="000000" w:themeColor="text1"/>
        </w:rPr>
      </w:pPr>
      <w:r w:rsidRPr="00A83AFF">
        <w:rPr>
          <w:rFonts w:eastAsia="Cambria" w:cs="Cambria"/>
          <w:color w:val="000000" w:themeColor="text1"/>
        </w:rPr>
        <w:t>Some of the key drivers of the AEO change from year to year reflect</w:t>
      </w:r>
      <w:r>
        <w:rPr>
          <w:rFonts w:eastAsia="Cambria" w:cs="Cambria"/>
          <w:color w:val="000000" w:themeColor="text1"/>
        </w:rPr>
        <w:t xml:space="preserve"> the</w:t>
      </w:r>
      <w:r w:rsidRPr="00A83AFF">
        <w:rPr>
          <w:rFonts w:eastAsia="Cambria" w:cs="Cambria"/>
          <w:color w:val="000000" w:themeColor="text1"/>
        </w:rPr>
        <w:t xml:space="preserve"> evolution of important information about the U</w:t>
      </w:r>
      <w:r>
        <w:rPr>
          <w:rFonts w:eastAsia="Cambria" w:cs="Cambria"/>
          <w:color w:val="000000" w:themeColor="text1"/>
        </w:rPr>
        <w:t>.</w:t>
      </w:r>
      <w:r w:rsidRPr="00A83AFF">
        <w:rPr>
          <w:rFonts w:eastAsia="Cambria" w:cs="Cambria"/>
          <w:color w:val="000000" w:themeColor="text1"/>
        </w:rPr>
        <w:t>S</w:t>
      </w:r>
      <w:r>
        <w:rPr>
          <w:rFonts w:eastAsia="Cambria" w:cs="Cambria"/>
          <w:color w:val="000000" w:themeColor="text1"/>
        </w:rPr>
        <w:t>.</w:t>
      </w:r>
      <w:r w:rsidRPr="00A83AFF">
        <w:rPr>
          <w:rFonts w:eastAsia="Cambria" w:cs="Cambria"/>
          <w:color w:val="000000" w:themeColor="text1"/>
        </w:rPr>
        <w:t xml:space="preserve"> energy economy. As an example of some of these changes, </w:t>
      </w:r>
      <w:r>
        <w:rPr>
          <w:rFonts w:eastAsia="Cambria" w:cs="Cambria"/>
          <w:color w:val="000000" w:themeColor="text1"/>
        </w:rPr>
        <w:t>Table 3 provides</w:t>
      </w:r>
      <w:r w:rsidRPr="00A83AFF">
        <w:rPr>
          <w:rFonts w:eastAsia="Cambria" w:cs="Cambria"/>
          <w:color w:val="000000" w:themeColor="text1"/>
        </w:rPr>
        <w:t xml:space="preserve"> some of the key assumption changes from AEO 2022 to AEO 2023.</w:t>
      </w:r>
    </w:p>
    <w:p w14:paraId="7E0AEE4D" w14:textId="0FA2B0B4" w:rsidR="00C011B0" w:rsidRPr="009C70EF" w:rsidRDefault="00C011B0" w:rsidP="00C011B0">
      <w:pPr>
        <w:keepNext/>
        <w:jc w:val="center"/>
        <w:rPr>
          <w:i/>
        </w:rPr>
      </w:pPr>
      <w:r w:rsidRPr="009C70EF">
        <w:rPr>
          <w:i/>
        </w:rPr>
        <w:t xml:space="preserve">Table </w:t>
      </w:r>
      <w:r>
        <w:rPr>
          <w:i/>
          <w:iCs/>
        </w:rPr>
        <w:t>3</w:t>
      </w:r>
      <w:r w:rsidRPr="009C70EF">
        <w:rPr>
          <w:i/>
        </w:rPr>
        <w:t>: Key Natural Gas Values for AEO 2023 Reference Case</w:t>
      </w:r>
    </w:p>
    <w:tbl>
      <w:tblPr>
        <w:tblStyle w:val="TableGrid"/>
        <w:tblW w:w="0" w:type="auto"/>
        <w:jc w:val="center"/>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3165"/>
        <w:gridCol w:w="6045"/>
      </w:tblGrid>
      <w:tr w:rsidR="00C011B0" w14:paraId="0BF387E5" w14:textId="77777777" w:rsidTr="009537AA">
        <w:trPr>
          <w:trHeight w:val="300"/>
          <w:jc w:val="center"/>
        </w:trPr>
        <w:tc>
          <w:tcPr>
            <w:tcW w:w="3165" w:type="dxa"/>
            <w:shd w:val="clear" w:color="auto" w:fill="548DD4"/>
            <w:tcMar>
              <w:left w:w="105" w:type="dxa"/>
              <w:right w:w="105" w:type="dxa"/>
            </w:tcMar>
          </w:tcPr>
          <w:p w14:paraId="04650679" w14:textId="77777777" w:rsidR="00C011B0" w:rsidRPr="009E1D5B" w:rsidRDefault="00C011B0" w:rsidP="009537AA">
            <w:pPr>
              <w:keepNext/>
              <w:jc w:val="center"/>
              <w:rPr>
                <w:rFonts w:eastAsia="Calibri" w:cs="Calibri"/>
                <w:color w:val="FFFFFF" w:themeColor="background1"/>
                <w:szCs w:val="20"/>
              </w:rPr>
            </w:pPr>
            <w:r w:rsidRPr="009E1D5B">
              <w:rPr>
                <w:rFonts w:eastAsia="Calibri" w:cs="Calibri"/>
                <w:b/>
                <w:color w:val="FFFFFF" w:themeColor="background1"/>
                <w:szCs w:val="20"/>
              </w:rPr>
              <w:t>Driver</w:t>
            </w:r>
          </w:p>
        </w:tc>
        <w:tc>
          <w:tcPr>
            <w:tcW w:w="6045" w:type="dxa"/>
            <w:shd w:val="clear" w:color="auto" w:fill="548DD4"/>
            <w:tcMar>
              <w:left w:w="105" w:type="dxa"/>
              <w:right w:w="105" w:type="dxa"/>
            </w:tcMar>
          </w:tcPr>
          <w:p w14:paraId="32B6053B" w14:textId="77777777" w:rsidR="00C011B0" w:rsidRPr="009E1D5B" w:rsidRDefault="00C011B0" w:rsidP="009537AA">
            <w:pPr>
              <w:keepNext/>
              <w:jc w:val="center"/>
              <w:rPr>
                <w:rFonts w:eastAsia="Calibri" w:cs="Calibri"/>
                <w:color w:val="FFFFFF" w:themeColor="background1"/>
                <w:szCs w:val="20"/>
              </w:rPr>
            </w:pPr>
            <w:r w:rsidRPr="009E1D5B">
              <w:rPr>
                <w:rFonts w:eastAsia="Calibri" w:cs="Calibri"/>
                <w:b/>
                <w:color w:val="FFFFFF" w:themeColor="background1"/>
                <w:szCs w:val="20"/>
              </w:rPr>
              <w:t>Key Values for AEO 2023 Reference Case</w:t>
            </w:r>
          </w:p>
        </w:tc>
      </w:tr>
      <w:tr w:rsidR="00C011B0" w14:paraId="2D41F42A" w14:textId="77777777" w:rsidTr="009537AA">
        <w:trPr>
          <w:trHeight w:val="300"/>
          <w:jc w:val="center"/>
        </w:trPr>
        <w:tc>
          <w:tcPr>
            <w:tcW w:w="3165" w:type="dxa"/>
            <w:tcMar>
              <w:left w:w="105" w:type="dxa"/>
              <w:right w:w="105" w:type="dxa"/>
            </w:tcMar>
          </w:tcPr>
          <w:p w14:paraId="18B11F68" w14:textId="77777777" w:rsidR="00C011B0" w:rsidRPr="009E1D5B" w:rsidRDefault="00C011B0" w:rsidP="009537AA">
            <w:pPr>
              <w:keepNext/>
              <w:rPr>
                <w:rFonts w:eastAsia="Calibri" w:cs="Calibri"/>
                <w:szCs w:val="20"/>
              </w:rPr>
            </w:pPr>
            <w:r w:rsidRPr="009E1D5B">
              <w:rPr>
                <w:rFonts w:eastAsia="Calibri" w:cs="Calibri"/>
                <w:b/>
                <w:szCs w:val="20"/>
              </w:rPr>
              <w:t>Resource Size</w:t>
            </w:r>
          </w:p>
          <w:p w14:paraId="5E0E89A2" w14:textId="77777777" w:rsidR="00C011B0" w:rsidRPr="009E1D5B" w:rsidRDefault="00C011B0" w:rsidP="009537AA">
            <w:pPr>
              <w:keepNext/>
              <w:rPr>
                <w:rFonts w:eastAsia="Cambria" w:cs="Cambria"/>
                <w:szCs w:val="20"/>
              </w:rPr>
            </w:pPr>
          </w:p>
        </w:tc>
        <w:tc>
          <w:tcPr>
            <w:tcW w:w="6045" w:type="dxa"/>
            <w:tcMar>
              <w:left w:w="105" w:type="dxa"/>
              <w:right w:w="105" w:type="dxa"/>
            </w:tcMar>
          </w:tcPr>
          <w:p w14:paraId="6EC2F62C" w14:textId="77777777" w:rsidR="00C011B0" w:rsidRPr="009E1D5B" w:rsidRDefault="00C011B0" w:rsidP="00C011B0">
            <w:pPr>
              <w:pStyle w:val="ListParagraph"/>
              <w:keepNext/>
              <w:numPr>
                <w:ilvl w:val="0"/>
                <w:numId w:val="8"/>
              </w:numPr>
              <w:spacing w:line="240" w:lineRule="auto"/>
              <w:jc w:val="left"/>
              <w:rPr>
                <w:rFonts w:eastAsia="Calibri" w:cs="Calibri"/>
              </w:rPr>
            </w:pPr>
            <w:r w:rsidRPr="7A0F2C88">
              <w:rPr>
                <w:rFonts w:eastAsia="Calibri" w:cs="Calibri"/>
              </w:rPr>
              <w:t xml:space="preserve">445.3 </w:t>
            </w:r>
            <w:proofErr w:type="spellStart"/>
            <w:r w:rsidRPr="7A0F2C88">
              <w:rPr>
                <w:rFonts w:eastAsia="Calibri" w:cs="Calibri"/>
              </w:rPr>
              <w:t>Tcf</w:t>
            </w:r>
            <w:proofErr w:type="spellEnd"/>
            <w:r w:rsidRPr="7A0F2C88">
              <w:rPr>
                <w:rFonts w:eastAsia="Calibri" w:cs="Calibri"/>
              </w:rPr>
              <w:t xml:space="preserve"> in proved shale reserves </w:t>
            </w:r>
          </w:p>
          <w:p w14:paraId="486AEC85" w14:textId="77777777" w:rsidR="00C011B0" w:rsidRPr="009E1D5B" w:rsidRDefault="00C011B0" w:rsidP="009537AA">
            <w:pPr>
              <w:keepNext/>
              <w:ind w:left="720"/>
              <w:rPr>
                <w:rFonts w:eastAsia="Calibri" w:cs="Calibri"/>
                <w:szCs w:val="20"/>
              </w:rPr>
            </w:pPr>
            <w:r w:rsidRPr="009E1D5B">
              <w:rPr>
                <w:rFonts w:eastAsia="Calibri" w:cs="Calibri"/>
                <w:szCs w:val="20"/>
              </w:rPr>
              <w:t xml:space="preserve">(20.1 </w:t>
            </w:r>
            <w:proofErr w:type="spellStart"/>
            <w:r w:rsidRPr="009E1D5B">
              <w:rPr>
                <w:rFonts w:eastAsia="Calibri" w:cs="Calibri"/>
                <w:szCs w:val="20"/>
              </w:rPr>
              <w:t>Tcf</w:t>
            </w:r>
            <w:proofErr w:type="spellEnd"/>
            <w:r w:rsidRPr="009E1D5B">
              <w:rPr>
                <w:rFonts w:eastAsia="Calibri" w:cs="Calibri"/>
                <w:szCs w:val="20"/>
              </w:rPr>
              <w:t xml:space="preserve"> decrease from AEO 2022)</w:t>
            </w:r>
          </w:p>
          <w:p w14:paraId="490091F1" w14:textId="77777777" w:rsidR="00C011B0" w:rsidRPr="009E1D5B" w:rsidRDefault="00C011B0" w:rsidP="00C011B0">
            <w:pPr>
              <w:pStyle w:val="ListParagraph"/>
              <w:keepNext/>
              <w:numPr>
                <w:ilvl w:val="0"/>
                <w:numId w:val="8"/>
              </w:numPr>
              <w:spacing w:line="240" w:lineRule="auto"/>
              <w:jc w:val="left"/>
              <w:rPr>
                <w:rFonts w:eastAsia="Calibri" w:cs="Calibri"/>
                <w:szCs w:val="20"/>
              </w:rPr>
            </w:pPr>
            <w:r w:rsidRPr="009E1D5B">
              <w:rPr>
                <w:rFonts w:eastAsia="Calibri" w:cs="Calibri"/>
                <w:szCs w:val="20"/>
              </w:rPr>
              <w:t xml:space="preserve">2,973 </w:t>
            </w:r>
            <w:proofErr w:type="spellStart"/>
            <w:r w:rsidRPr="009E1D5B">
              <w:rPr>
                <w:rFonts w:eastAsia="Calibri" w:cs="Calibri"/>
                <w:szCs w:val="20"/>
              </w:rPr>
              <w:t>Tcf</w:t>
            </w:r>
            <w:proofErr w:type="spellEnd"/>
            <w:r w:rsidRPr="009E1D5B">
              <w:rPr>
                <w:rFonts w:eastAsia="Calibri" w:cs="Calibri"/>
                <w:szCs w:val="20"/>
              </w:rPr>
              <w:t xml:space="preserve"> in total technically recoverable (TTR) U.S</w:t>
            </w:r>
            <w:r>
              <w:rPr>
                <w:rFonts w:eastAsia="Calibri" w:cs="Calibri"/>
                <w:szCs w:val="20"/>
              </w:rPr>
              <w:t>.</w:t>
            </w:r>
            <w:r w:rsidRPr="009E1D5B">
              <w:rPr>
                <w:rFonts w:eastAsia="Calibri" w:cs="Calibri"/>
                <w:szCs w:val="20"/>
              </w:rPr>
              <w:t xml:space="preserve"> dry natural gas resources</w:t>
            </w:r>
          </w:p>
          <w:p w14:paraId="35EBAC68" w14:textId="77777777" w:rsidR="00C011B0" w:rsidRPr="009E1D5B" w:rsidRDefault="00C011B0" w:rsidP="009537AA">
            <w:pPr>
              <w:keepNext/>
              <w:ind w:left="720"/>
              <w:rPr>
                <w:rFonts w:eastAsia="Calibri" w:cs="Calibri"/>
                <w:szCs w:val="20"/>
              </w:rPr>
            </w:pPr>
            <w:r w:rsidRPr="009E1D5B">
              <w:rPr>
                <w:rFonts w:eastAsia="Calibri" w:cs="Calibri"/>
                <w:szCs w:val="20"/>
              </w:rPr>
              <w:t xml:space="preserve">(1.6% growth from AEO 2022 to AEO 2023) </w:t>
            </w:r>
          </w:p>
        </w:tc>
      </w:tr>
      <w:tr w:rsidR="00C011B0" w14:paraId="6F07A689" w14:textId="77777777" w:rsidTr="009537AA">
        <w:trPr>
          <w:trHeight w:val="300"/>
          <w:jc w:val="center"/>
        </w:trPr>
        <w:tc>
          <w:tcPr>
            <w:tcW w:w="3165" w:type="dxa"/>
            <w:tcMar>
              <w:left w:w="105" w:type="dxa"/>
              <w:right w:w="105" w:type="dxa"/>
            </w:tcMar>
          </w:tcPr>
          <w:p w14:paraId="5640B5B0" w14:textId="77777777" w:rsidR="00C011B0" w:rsidRPr="009E1D5B" w:rsidRDefault="00C011B0" w:rsidP="009537AA">
            <w:pPr>
              <w:keepNext/>
              <w:rPr>
                <w:rFonts w:eastAsia="Calibri" w:cs="Calibri"/>
                <w:szCs w:val="20"/>
              </w:rPr>
            </w:pPr>
            <w:r w:rsidRPr="009E1D5B">
              <w:rPr>
                <w:rFonts w:eastAsia="Calibri" w:cs="Calibri"/>
                <w:b/>
                <w:szCs w:val="20"/>
              </w:rPr>
              <w:t>Technological Improvement</w:t>
            </w:r>
          </w:p>
        </w:tc>
        <w:tc>
          <w:tcPr>
            <w:tcW w:w="6045" w:type="dxa"/>
            <w:tcMar>
              <w:left w:w="105" w:type="dxa"/>
              <w:right w:w="105" w:type="dxa"/>
            </w:tcMar>
          </w:tcPr>
          <w:p w14:paraId="0B871741" w14:textId="77777777" w:rsidR="00C011B0" w:rsidRPr="009E1D5B" w:rsidRDefault="00C011B0" w:rsidP="00C011B0">
            <w:pPr>
              <w:pStyle w:val="ListParagraph"/>
              <w:keepNext/>
              <w:numPr>
                <w:ilvl w:val="0"/>
                <w:numId w:val="8"/>
              </w:numPr>
              <w:spacing w:line="240" w:lineRule="auto"/>
              <w:jc w:val="left"/>
              <w:rPr>
                <w:rFonts w:eastAsia="Calibri" w:cs="Calibri"/>
                <w:szCs w:val="20"/>
              </w:rPr>
            </w:pPr>
            <w:r w:rsidRPr="009E1D5B">
              <w:rPr>
                <w:rFonts w:eastAsia="Calibri" w:cs="Calibri"/>
                <w:szCs w:val="20"/>
              </w:rPr>
              <w:t>Drilling costs fall by 1%/yr</w:t>
            </w:r>
          </w:p>
          <w:p w14:paraId="5893C4D2" w14:textId="77777777" w:rsidR="00C011B0" w:rsidRPr="009E1D5B" w:rsidRDefault="00C011B0" w:rsidP="00C011B0">
            <w:pPr>
              <w:pStyle w:val="ListParagraph"/>
              <w:keepNext/>
              <w:numPr>
                <w:ilvl w:val="0"/>
                <w:numId w:val="8"/>
              </w:numPr>
              <w:spacing w:line="240" w:lineRule="auto"/>
              <w:jc w:val="left"/>
              <w:rPr>
                <w:rFonts w:eastAsia="Calibri" w:cs="Calibri"/>
                <w:szCs w:val="20"/>
              </w:rPr>
            </w:pPr>
            <w:r w:rsidRPr="009E1D5B">
              <w:rPr>
                <w:rFonts w:eastAsia="Calibri" w:cs="Calibri"/>
                <w:szCs w:val="20"/>
              </w:rPr>
              <w:t>Equipment costs fall by 0.5%/yr</w:t>
            </w:r>
          </w:p>
          <w:p w14:paraId="37F28C93" w14:textId="77777777" w:rsidR="00C011B0" w:rsidRPr="009E1D5B" w:rsidRDefault="00C011B0" w:rsidP="00C011B0">
            <w:pPr>
              <w:pStyle w:val="ListParagraph"/>
              <w:keepNext/>
              <w:numPr>
                <w:ilvl w:val="0"/>
                <w:numId w:val="8"/>
              </w:numPr>
              <w:spacing w:line="240" w:lineRule="auto"/>
              <w:jc w:val="left"/>
              <w:rPr>
                <w:rFonts w:eastAsia="Calibri" w:cs="Calibri"/>
                <w:szCs w:val="20"/>
              </w:rPr>
            </w:pPr>
            <w:r w:rsidRPr="009E1D5B">
              <w:rPr>
                <w:rFonts w:eastAsia="Calibri" w:cs="Calibri"/>
                <w:szCs w:val="20"/>
              </w:rPr>
              <w:t>Well productivity increase up to 4%/ yr</w:t>
            </w:r>
          </w:p>
        </w:tc>
      </w:tr>
    </w:tbl>
    <w:p w14:paraId="2B86F6D8" w14:textId="77777777" w:rsidR="0056660D" w:rsidRDefault="0056660D" w:rsidP="00D56D25">
      <w:pPr>
        <w:rPr>
          <w:rFonts w:eastAsia="Cambria" w:cs="Cambria"/>
          <w:color w:val="000000" w:themeColor="text1"/>
        </w:rPr>
      </w:pPr>
    </w:p>
    <w:p w14:paraId="167590FB" w14:textId="39F924C0" w:rsidR="00094B44" w:rsidRPr="00203FB2" w:rsidRDefault="00094B44" w:rsidP="00094B44">
      <w:r>
        <w:t>More information regarding the fuel price input assumptions can be found in Section 3.5.</w:t>
      </w:r>
    </w:p>
    <w:p w14:paraId="6D5B83CC" w14:textId="49B04D26" w:rsidR="00203FB2" w:rsidRDefault="00712A04" w:rsidP="00D86E63">
      <w:pPr>
        <w:pStyle w:val="Heading1"/>
      </w:pPr>
      <w:bookmarkStart w:id="8" w:name="_Toc188405623"/>
      <w:r>
        <w:lastRenderedPageBreak/>
        <w:t xml:space="preserve">3 </w:t>
      </w:r>
      <w:r w:rsidR="00C555A4">
        <w:t xml:space="preserve">Model Input </w:t>
      </w:r>
      <w:r>
        <w:t>Assumptions</w:t>
      </w:r>
      <w:bookmarkEnd w:id="8"/>
    </w:p>
    <w:p w14:paraId="4C19736F" w14:textId="6BCDA069" w:rsidR="00712A04" w:rsidRDefault="00712A04" w:rsidP="00D86E63">
      <w:r>
        <w:t>The key inputs to the study are the cost of capital and escalation rates, a reliability criterion represented by the Target Reserve Margin, the operating data and retirement or projected unavailability dates of existing and committed generating units, projected demand</w:t>
      </w:r>
      <w:r w:rsidR="002D1E4B">
        <w:t>-</w:t>
      </w:r>
      <w:r>
        <w:t>side options (“DSOs”), load forecasts, fuel forecasts, and costs</w:t>
      </w:r>
      <w:r w:rsidR="006D7EC8">
        <w:t>,</w:t>
      </w:r>
      <w:r>
        <w:t xml:space="preserve"> performance characteristics</w:t>
      </w:r>
      <w:r w:rsidR="006D7EC8">
        <w:t xml:space="preserve">, and </w:t>
      </w:r>
      <w:r w:rsidR="00086547">
        <w:t>deployment</w:t>
      </w:r>
      <w:r>
        <w:t xml:space="preserve"> of candidate generating technologies. The following provides details for each of these key inputs. </w:t>
      </w:r>
    </w:p>
    <w:p w14:paraId="733DD833" w14:textId="3504F6DD" w:rsidR="00712A04" w:rsidRDefault="00712A04" w:rsidP="00D86E63">
      <w:pPr>
        <w:pStyle w:val="Heading2"/>
      </w:pPr>
      <w:bookmarkStart w:id="9" w:name="_Toc188405624"/>
      <w:r>
        <w:t>3.1 Financial Assumptions</w:t>
      </w:r>
      <w:bookmarkEnd w:id="9"/>
    </w:p>
    <w:p w14:paraId="741B9BAF" w14:textId="1754F71A" w:rsidR="00712A04" w:rsidRDefault="00712A04" w:rsidP="00D86E63">
      <w:r>
        <w:t xml:space="preserve">Cost of capital rates are based on the </w:t>
      </w:r>
      <w:r w:rsidR="00FD6D23">
        <w:t xml:space="preserve">S&amp;P </w:t>
      </w:r>
      <w:r w:rsidR="00C25695">
        <w:t xml:space="preserve">Global </w:t>
      </w:r>
      <w:r>
        <w:t>June 2024 forecast</w:t>
      </w:r>
      <w:r w:rsidR="00BD775D">
        <w:t xml:space="preserve"> of interest rates </w:t>
      </w:r>
      <w:r w:rsidR="00FA0BA3">
        <w:t>and economic conditions</w:t>
      </w:r>
      <w:r>
        <w:t>. Table 3 details the capital structure and weighted costs used in the Mix Study.</w:t>
      </w:r>
    </w:p>
    <w:p w14:paraId="3E1956CE" w14:textId="2F361980" w:rsidR="00FA579C" w:rsidRPr="00FA579C" w:rsidRDefault="00F023F4" w:rsidP="00A65265">
      <w:pPr>
        <w:pStyle w:val="Caption"/>
      </w:pPr>
      <w:r w:rsidRPr="00AA3A94">
        <w:t xml:space="preserve">Table </w:t>
      </w:r>
      <w:r>
        <w:fldChar w:fldCharType="begin"/>
      </w:r>
      <w:r>
        <w:instrText xml:space="preserve"> SEQ Table \* ARABIC </w:instrText>
      </w:r>
      <w:r>
        <w:fldChar w:fldCharType="separate"/>
      </w:r>
      <w:r w:rsidRPr="00AA3A94">
        <w:rPr>
          <w:noProof/>
        </w:rPr>
        <w:t>3</w:t>
      </w:r>
      <w:r>
        <w:rPr>
          <w:noProof/>
        </w:rPr>
        <w:fldChar w:fldCharType="end"/>
      </w:r>
      <w:r w:rsidRPr="00AA3A94">
        <w:t>: Capital Structure</w:t>
      </w:r>
      <w:r w:rsidR="00421F7D">
        <w:t xml:space="preserve"> </w:t>
      </w:r>
    </w:p>
    <w:tbl>
      <w:tblPr>
        <w:tblW w:w="8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2" w:type="dxa"/>
          <w:left w:w="0" w:type="dxa"/>
          <w:bottom w:w="72" w:type="dxa"/>
          <w:right w:w="0" w:type="dxa"/>
        </w:tblCellMar>
        <w:tblLook w:val="0000" w:firstRow="0" w:lastRow="0" w:firstColumn="0" w:lastColumn="0" w:noHBand="0" w:noVBand="0"/>
      </w:tblPr>
      <w:tblGrid>
        <w:gridCol w:w="1470"/>
        <w:gridCol w:w="1470"/>
        <w:gridCol w:w="1470"/>
        <w:gridCol w:w="1440"/>
        <w:gridCol w:w="1530"/>
        <w:gridCol w:w="1440"/>
      </w:tblGrid>
      <w:tr w:rsidR="003A5B56" w:rsidRPr="002F5ED6" w14:paraId="189046A3" w14:textId="77777777" w:rsidTr="00E55179">
        <w:trPr>
          <w:cantSplit/>
          <w:trHeight w:val="480"/>
          <w:tblHeader/>
          <w:jc w:val="center"/>
        </w:trPr>
        <w:tc>
          <w:tcPr>
            <w:tcW w:w="1470" w:type="dxa"/>
            <w:shd w:val="clear" w:color="auto" w:fill="0070C0"/>
            <w:vAlign w:val="center"/>
          </w:tcPr>
          <w:p w14:paraId="7CA7B881" w14:textId="77777777" w:rsidR="00712A04" w:rsidRPr="008D7619" w:rsidRDefault="00712A04" w:rsidP="008D7619">
            <w:pPr>
              <w:spacing w:after="0" w:line="240" w:lineRule="auto"/>
              <w:jc w:val="center"/>
              <w:rPr>
                <w:color w:val="FFFFFF" w:themeColor="background1"/>
              </w:rPr>
            </w:pPr>
            <w:r w:rsidRPr="008D7619">
              <w:rPr>
                <w:color w:val="FFFFFF" w:themeColor="background1"/>
              </w:rPr>
              <w:t>Component</w:t>
            </w:r>
          </w:p>
        </w:tc>
        <w:tc>
          <w:tcPr>
            <w:tcW w:w="1470" w:type="dxa"/>
            <w:shd w:val="clear" w:color="auto" w:fill="0070C0"/>
            <w:vAlign w:val="center"/>
          </w:tcPr>
          <w:p w14:paraId="495E3575" w14:textId="77777777" w:rsidR="00712A04" w:rsidRPr="008D7619" w:rsidRDefault="00712A04" w:rsidP="008D7619">
            <w:pPr>
              <w:spacing w:after="0" w:line="240" w:lineRule="auto"/>
              <w:jc w:val="center"/>
              <w:rPr>
                <w:color w:val="FFFFFF" w:themeColor="background1"/>
              </w:rPr>
            </w:pPr>
            <w:r w:rsidRPr="008D7619">
              <w:rPr>
                <w:color w:val="FFFFFF" w:themeColor="background1"/>
              </w:rPr>
              <w:t>Ratio</w:t>
            </w:r>
          </w:p>
        </w:tc>
        <w:tc>
          <w:tcPr>
            <w:tcW w:w="1470" w:type="dxa"/>
            <w:shd w:val="clear" w:color="auto" w:fill="0070C0"/>
            <w:vAlign w:val="center"/>
          </w:tcPr>
          <w:p w14:paraId="3E35A870" w14:textId="77777777" w:rsidR="00712A04" w:rsidRPr="008D7619" w:rsidRDefault="00712A04" w:rsidP="008D7619">
            <w:pPr>
              <w:spacing w:after="0" w:line="240" w:lineRule="auto"/>
              <w:jc w:val="center"/>
              <w:rPr>
                <w:color w:val="FFFFFF" w:themeColor="background1"/>
              </w:rPr>
            </w:pPr>
            <w:r w:rsidRPr="008D7619">
              <w:rPr>
                <w:color w:val="FFFFFF" w:themeColor="background1"/>
              </w:rPr>
              <w:t>Cost</w:t>
            </w:r>
          </w:p>
        </w:tc>
        <w:tc>
          <w:tcPr>
            <w:tcW w:w="1440" w:type="dxa"/>
            <w:shd w:val="clear" w:color="auto" w:fill="0070C0"/>
            <w:vAlign w:val="center"/>
          </w:tcPr>
          <w:p w14:paraId="2B8BAFD9" w14:textId="77777777" w:rsidR="00712A04" w:rsidRPr="008D7619" w:rsidRDefault="00712A04" w:rsidP="008D7619">
            <w:pPr>
              <w:spacing w:after="0" w:line="240" w:lineRule="auto"/>
              <w:jc w:val="center"/>
              <w:rPr>
                <w:color w:val="FFFFFF" w:themeColor="background1"/>
              </w:rPr>
            </w:pPr>
            <w:r w:rsidRPr="008D7619">
              <w:rPr>
                <w:color w:val="FFFFFF" w:themeColor="background1"/>
              </w:rPr>
              <w:t>Weighted</w:t>
            </w:r>
          </w:p>
        </w:tc>
        <w:tc>
          <w:tcPr>
            <w:tcW w:w="1530" w:type="dxa"/>
            <w:shd w:val="clear" w:color="auto" w:fill="0070C0"/>
            <w:vAlign w:val="center"/>
          </w:tcPr>
          <w:p w14:paraId="28E5E589" w14:textId="77777777" w:rsidR="00712A04" w:rsidRPr="008D7619" w:rsidRDefault="00712A04" w:rsidP="008D7619">
            <w:pPr>
              <w:spacing w:after="0" w:line="240" w:lineRule="auto"/>
              <w:jc w:val="center"/>
              <w:rPr>
                <w:color w:val="FFFFFF" w:themeColor="background1"/>
              </w:rPr>
            </w:pPr>
            <w:r w:rsidRPr="008D7619">
              <w:rPr>
                <w:color w:val="FFFFFF" w:themeColor="background1"/>
              </w:rPr>
              <w:t>After Tax Hurdle Rate</w:t>
            </w:r>
          </w:p>
        </w:tc>
        <w:tc>
          <w:tcPr>
            <w:tcW w:w="1440" w:type="dxa"/>
            <w:shd w:val="clear" w:color="auto" w:fill="0070C0"/>
            <w:vAlign w:val="center"/>
          </w:tcPr>
          <w:p w14:paraId="16A37A1C" w14:textId="77777777" w:rsidR="00712A04" w:rsidRPr="008D7619" w:rsidRDefault="00712A04" w:rsidP="008D7619">
            <w:pPr>
              <w:spacing w:after="0" w:line="240" w:lineRule="auto"/>
              <w:jc w:val="center"/>
              <w:rPr>
                <w:color w:val="FFFFFF" w:themeColor="background1"/>
              </w:rPr>
            </w:pPr>
            <w:r w:rsidRPr="008D7619">
              <w:rPr>
                <w:color w:val="FFFFFF" w:themeColor="background1"/>
              </w:rPr>
              <w:t>Revenue Requirement Rate</w:t>
            </w:r>
          </w:p>
        </w:tc>
      </w:tr>
      <w:tr w:rsidR="004A404D" w:rsidRPr="002F5ED6" w14:paraId="3141E486" w14:textId="77777777" w:rsidTr="00AD2A1A">
        <w:trPr>
          <w:cantSplit/>
          <w:jc w:val="center"/>
        </w:trPr>
        <w:tc>
          <w:tcPr>
            <w:tcW w:w="1470" w:type="dxa"/>
            <w:vAlign w:val="center"/>
          </w:tcPr>
          <w:p w14:paraId="71F2931C" w14:textId="77777777" w:rsidR="004A404D" w:rsidRPr="002F5ED6" w:rsidRDefault="004A404D" w:rsidP="004A404D">
            <w:pPr>
              <w:spacing w:after="0" w:line="240" w:lineRule="auto"/>
              <w:jc w:val="center"/>
            </w:pPr>
            <w:r w:rsidRPr="002F5ED6">
              <w:t>Debt</w:t>
            </w:r>
          </w:p>
        </w:tc>
        <w:tc>
          <w:tcPr>
            <w:tcW w:w="1470" w:type="dxa"/>
            <w:vAlign w:val="center"/>
          </w:tcPr>
          <w:p w14:paraId="02028659" w14:textId="77777777" w:rsidR="004A404D" w:rsidRPr="002F5ED6" w:rsidRDefault="004A404D" w:rsidP="004A404D">
            <w:pPr>
              <w:spacing w:after="0" w:line="240" w:lineRule="auto"/>
              <w:jc w:val="center"/>
            </w:pPr>
            <w:r w:rsidRPr="002F5ED6">
              <w:t>45%</w:t>
            </w:r>
          </w:p>
        </w:tc>
        <w:tc>
          <w:tcPr>
            <w:tcW w:w="1470" w:type="dxa"/>
          </w:tcPr>
          <w:p w14:paraId="35E8AA79" w14:textId="247A8C3B" w:rsidR="004A404D" w:rsidRPr="004A404D" w:rsidRDefault="004A404D" w:rsidP="004A404D">
            <w:pPr>
              <w:spacing w:after="0" w:line="240" w:lineRule="auto"/>
              <w:jc w:val="center"/>
              <w:rPr>
                <w:b/>
                <w:bCs/>
                <w:highlight w:val="yellow"/>
              </w:rPr>
            </w:pPr>
            <w:r w:rsidRPr="00ED3996">
              <w:rPr>
                <w:b/>
                <w:bCs/>
              </w:rPr>
              <w:t>REDACTED</w:t>
            </w:r>
          </w:p>
        </w:tc>
        <w:tc>
          <w:tcPr>
            <w:tcW w:w="1440" w:type="dxa"/>
          </w:tcPr>
          <w:p w14:paraId="39E0A8E5" w14:textId="337444A4" w:rsidR="004A404D" w:rsidRPr="00F023F4" w:rsidRDefault="004A404D" w:rsidP="004A404D">
            <w:pPr>
              <w:spacing w:after="0" w:line="240" w:lineRule="auto"/>
              <w:jc w:val="center"/>
              <w:rPr>
                <w:highlight w:val="yellow"/>
              </w:rPr>
            </w:pPr>
            <w:r w:rsidRPr="00ED3996">
              <w:rPr>
                <w:b/>
                <w:bCs/>
              </w:rPr>
              <w:t>REDACTED</w:t>
            </w:r>
          </w:p>
        </w:tc>
        <w:tc>
          <w:tcPr>
            <w:tcW w:w="1530" w:type="dxa"/>
          </w:tcPr>
          <w:p w14:paraId="7ABC27DD" w14:textId="23CD4BC3" w:rsidR="004A404D" w:rsidRPr="00F023F4" w:rsidRDefault="004A404D" w:rsidP="004A404D">
            <w:pPr>
              <w:spacing w:after="0" w:line="240" w:lineRule="auto"/>
              <w:jc w:val="center"/>
              <w:rPr>
                <w:highlight w:val="yellow"/>
              </w:rPr>
            </w:pPr>
            <w:r w:rsidRPr="00ED3996">
              <w:rPr>
                <w:b/>
                <w:bCs/>
              </w:rPr>
              <w:t>REDACTED</w:t>
            </w:r>
          </w:p>
        </w:tc>
        <w:tc>
          <w:tcPr>
            <w:tcW w:w="1440" w:type="dxa"/>
          </w:tcPr>
          <w:p w14:paraId="1F523EDA" w14:textId="66DDCB3E" w:rsidR="004A404D" w:rsidRPr="00F023F4" w:rsidRDefault="004A404D" w:rsidP="004A404D">
            <w:pPr>
              <w:spacing w:after="0" w:line="240" w:lineRule="auto"/>
              <w:jc w:val="center"/>
              <w:rPr>
                <w:highlight w:val="yellow"/>
              </w:rPr>
            </w:pPr>
            <w:r w:rsidRPr="00ED3996">
              <w:rPr>
                <w:b/>
                <w:bCs/>
              </w:rPr>
              <w:t>REDACTED</w:t>
            </w:r>
          </w:p>
        </w:tc>
      </w:tr>
      <w:tr w:rsidR="004A404D" w:rsidRPr="002F5ED6" w14:paraId="05C9A9AC" w14:textId="77777777" w:rsidTr="00AD2A1A">
        <w:trPr>
          <w:cantSplit/>
          <w:jc w:val="center"/>
        </w:trPr>
        <w:tc>
          <w:tcPr>
            <w:tcW w:w="1470" w:type="dxa"/>
            <w:vAlign w:val="center"/>
          </w:tcPr>
          <w:p w14:paraId="47E8AC6A" w14:textId="77777777" w:rsidR="004A404D" w:rsidRPr="002F5ED6" w:rsidRDefault="004A404D" w:rsidP="004A404D">
            <w:pPr>
              <w:spacing w:after="0" w:line="240" w:lineRule="auto"/>
              <w:jc w:val="center"/>
            </w:pPr>
            <w:r w:rsidRPr="002F5ED6">
              <w:t>Equity</w:t>
            </w:r>
          </w:p>
        </w:tc>
        <w:tc>
          <w:tcPr>
            <w:tcW w:w="1470" w:type="dxa"/>
            <w:vAlign w:val="center"/>
          </w:tcPr>
          <w:p w14:paraId="442B4024" w14:textId="77777777" w:rsidR="004A404D" w:rsidRPr="002F5ED6" w:rsidRDefault="004A404D" w:rsidP="004A404D">
            <w:pPr>
              <w:spacing w:after="0" w:line="240" w:lineRule="auto"/>
              <w:jc w:val="center"/>
            </w:pPr>
            <w:r w:rsidRPr="002F5ED6">
              <w:t>55%</w:t>
            </w:r>
          </w:p>
        </w:tc>
        <w:tc>
          <w:tcPr>
            <w:tcW w:w="1470" w:type="dxa"/>
          </w:tcPr>
          <w:p w14:paraId="4A48728E" w14:textId="3B4E4E0D" w:rsidR="004A404D" w:rsidRPr="00F023F4" w:rsidRDefault="004A404D" w:rsidP="004A404D">
            <w:pPr>
              <w:spacing w:after="0" w:line="240" w:lineRule="auto"/>
              <w:jc w:val="center"/>
              <w:rPr>
                <w:highlight w:val="yellow"/>
              </w:rPr>
            </w:pPr>
            <w:r w:rsidRPr="00ED3996">
              <w:rPr>
                <w:b/>
                <w:bCs/>
              </w:rPr>
              <w:t>REDACTED</w:t>
            </w:r>
          </w:p>
        </w:tc>
        <w:tc>
          <w:tcPr>
            <w:tcW w:w="1440" w:type="dxa"/>
          </w:tcPr>
          <w:p w14:paraId="585F8461" w14:textId="7D8C211C" w:rsidR="004A404D" w:rsidRPr="00F023F4" w:rsidRDefault="004A404D" w:rsidP="004A404D">
            <w:pPr>
              <w:spacing w:after="0" w:line="240" w:lineRule="auto"/>
              <w:jc w:val="center"/>
              <w:rPr>
                <w:highlight w:val="yellow"/>
              </w:rPr>
            </w:pPr>
            <w:r w:rsidRPr="00ED3996">
              <w:rPr>
                <w:b/>
                <w:bCs/>
              </w:rPr>
              <w:t>REDACTED</w:t>
            </w:r>
          </w:p>
        </w:tc>
        <w:tc>
          <w:tcPr>
            <w:tcW w:w="1530" w:type="dxa"/>
          </w:tcPr>
          <w:p w14:paraId="6366726D" w14:textId="57688BE0" w:rsidR="004A404D" w:rsidRPr="00F023F4" w:rsidRDefault="004A404D" w:rsidP="004A404D">
            <w:pPr>
              <w:spacing w:after="0" w:line="240" w:lineRule="auto"/>
              <w:jc w:val="center"/>
              <w:rPr>
                <w:highlight w:val="yellow"/>
              </w:rPr>
            </w:pPr>
            <w:r w:rsidRPr="00ED3996">
              <w:rPr>
                <w:b/>
                <w:bCs/>
              </w:rPr>
              <w:t>REDACTED</w:t>
            </w:r>
          </w:p>
        </w:tc>
        <w:tc>
          <w:tcPr>
            <w:tcW w:w="1440" w:type="dxa"/>
          </w:tcPr>
          <w:p w14:paraId="6C409CBB" w14:textId="33FCD2E6" w:rsidR="004A404D" w:rsidRPr="00F023F4" w:rsidRDefault="004A404D" w:rsidP="004A404D">
            <w:pPr>
              <w:spacing w:after="0" w:line="240" w:lineRule="auto"/>
              <w:jc w:val="center"/>
              <w:rPr>
                <w:highlight w:val="yellow"/>
              </w:rPr>
            </w:pPr>
            <w:r w:rsidRPr="00ED3996">
              <w:rPr>
                <w:b/>
                <w:bCs/>
              </w:rPr>
              <w:t>REDACTED</w:t>
            </w:r>
          </w:p>
        </w:tc>
      </w:tr>
      <w:tr w:rsidR="004A404D" w:rsidRPr="002F5ED6" w14:paraId="66CFB9B7" w14:textId="77777777" w:rsidTr="00BA05F6">
        <w:trPr>
          <w:cantSplit/>
          <w:jc w:val="center"/>
        </w:trPr>
        <w:tc>
          <w:tcPr>
            <w:tcW w:w="4410" w:type="dxa"/>
            <w:gridSpan w:val="3"/>
            <w:vAlign w:val="center"/>
          </w:tcPr>
          <w:p w14:paraId="247EE927" w14:textId="77777777" w:rsidR="004A404D" w:rsidRPr="00F023F4" w:rsidRDefault="004A404D" w:rsidP="004A404D">
            <w:pPr>
              <w:spacing w:after="0" w:line="240" w:lineRule="auto"/>
              <w:jc w:val="center"/>
              <w:rPr>
                <w:highlight w:val="yellow"/>
              </w:rPr>
            </w:pPr>
            <w:r w:rsidRPr="002F5ED6">
              <w:t>Weighted Cost</w:t>
            </w:r>
          </w:p>
        </w:tc>
        <w:tc>
          <w:tcPr>
            <w:tcW w:w="1440" w:type="dxa"/>
          </w:tcPr>
          <w:p w14:paraId="33C34374" w14:textId="01C85F0D" w:rsidR="004A404D" w:rsidRPr="00F023F4" w:rsidRDefault="004A404D" w:rsidP="004A404D">
            <w:pPr>
              <w:spacing w:after="0" w:line="240" w:lineRule="auto"/>
              <w:jc w:val="center"/>
              <w:rPr>
                <w:highlight w:val="yellow"/>
              </w:rPr>
            </w:pPr>
            <w:r w:rsidRPr="00247CC9">
              <w:rPr>
                <w:b/>
                <w:bCs/>
              </w:rPr>
              <w:t>REDACTED</w:t>
            </w:r>
          </w:p>
        </w:tc>
        <w:tc>
          <w:tcPr>
            <w:tcW w:w="1530" w:type="dxa"/>
          </w:tcPr>
          <w:p w14:paraId="64FF7B27" w14:textId="4F7AF27B" w:rsidR="004A404D" w:rsidRPr="00F023F4" w:rsidRDefault="004A404D" w:rsidP="004A404D">
            <w:pPr>
              <w:spacing w:after="0" w:line="240" w:lineRule="auto"/>
              <w:jc w:val="center"/>
              <w:rPr>
                <w:highlight w:val="yellow"/>
              </w:rPr>
            </w:pPr>
            <w:r w:rsidRPr="00247CC9">
              <w:rPr>
                <w:b/>
                <w:bCs/>
              </w:rPr>
              <w:t>REDACTED</w:t>
            </w:r>
          </w:p>
        </w:tc>
        <w:tc>
          <w:tcPr>
            <w:tcW w:w="1440" w:type="dxa"/>
          </w:tcPr>
          <w:p w14:paraId="382461FB" w14:textId="53F2D544" w:rsidR="004A404D" w:rsidRPr="00F023F4" w:rsidRDefault="004A404D" w:rsidP="004A404D">
            <w:pPr>
              <w:spacing w:after="0" w:line="240" w:lineRule="auto"/>
              <w:jc w:val="center"/>
              <w:rPr>
                <w:highlight w:val="yellow"/>
              </w:rPr>
            </w:pPr>
            <w:r w:rsidRPr="00247CC9">
              <w:rPr>
                <w:b/>
                <w:bCs/>
              </w:rPr>
              <w:t>REDACTED</w:t>
            </w:r>
          </w:p>
        </w:tc>
      </w:tr>
    </w:tbl>
    <w:p w14:paraId="140D300B" w14:textId="77777777" w:rsidR="0044220A" w:rsidRDefault="0044220A" w:rsidP="006933FD"/>
    <w:p w14:paraId="7ED7EF1A" w14:textId="0C3CD03B" w:rsidR="00712A04" w:rsidRDefault="00302860" w:rsidP="00D86E63">
      <w:pPr>
        <w:pStyle w:val="Heading2"/>
      </w:pPr>
      <w:r w:rsidDel="00F023F4">
        <w:rPr>
          <w:iCs/>
          <w:color w:val="0E2841" w:themeColor="text2"/>
        </w:rPr>
        <w:fldChar w:fldCharType="begin"/>
      </w:r>
      <w:r w:rsidDel="00F023F4">
        <w:rPr>
          <w:iCs/>
          <w:color w:val="0E2841" w:themeColor="text2"/>
        </w:rPr>
        <w:fldChar w:fldCharType="separate"/>
      </w:r>
      <w:r w:rsidDel="00F023F4">
        <w:rPr>
          <w:iCs/>
          <w:color w:val="0E2841" w:themeColor="text2"/>
        </w:rPr>
        <w:fldChar w:fldCharType="end"/>
      </w:r>
      <w:bookmarkStart w:id="10" w:name="_Toc188405625"/>
      <w:r w:rsidR="00712A04">
        <w:t>3.2 Reserve Margin</w:t>
      </w:r>
      <w:bookmarkEnd w:id="10"/>
    </w:p>
    <w:p w14:paraId="23BDF813" w14:textId="335F9638" w:rsidR="00712A04" w:rsidRDefault="00712A04" w:rsidP="00D86E63">
      <w:r>
        <w:t xml:space="preserve">The 2025 IRP reflects a 20% Summer Target Reserve Margin and 26% Winter Target Reserve Margin for long-term resource planning purposes, consistent with the 2024 Reserve Margin Study, found in Technical Appendix </w:t>
      </w:r>
      <w:r w:rsidR="00E30025">
        <w:t>Volume</w:t>
      </w:r>
      <w:r>
        <w:t xml:space="preserve"> </w:t>
      </w:r>
      <w:r w:rsidR="0039540C">
        <w:t>1</w:t>
      </w:r>
      <w:r>
        <w:t>.</w:t>
      </w:r>
    </w:p>
    <w:p w14:paraId="5CA6BA5D" w14:textId="6702562B" w:rsidR="00712A04" w:rsidRDefault="006962F4" w:rsidP="00D86E63">
      <w:pPr>
        <w:pStyle w:val="Heading2"/>
      </w:pPr>
      <w:bookmarkStart w:id="11" w:name="_Toc188405626"/>
      <w:r>
        <w:t>3.3 Existing Capacity Mix</w:t>
      </w:r>
      <w:bookmarkEnd w:id="11"/>
    </w:p>
    <w:p w14:paraId="1664B9B3" w14:textId="0D0363A5" w:rsidR="006962F4" w:rsidRDefault="006962F4" w:rsidP="00D86E63">
      <w:r>
        <w:t xml:space="preserve">The Company’s current generating capacity consists of </w:t>
      </w:r>
      <w:r w:rsidR="000A406F">
        <w:t xml:space="preserve">47% gas and oil, </w:t>
      </w:r>
      <w:r w:rsidR="009439E3">
        <w:t>17</w:t>
      </w:r>
      <w:r>
        <w:t xml:space="preserve">% coal, </w:t>
      </w:r>
      <w:r w:rsidR="00C876BC">
        <w:t>12</w:t>
      </w:r>
      <w:r>
        <w:t xml:space="preserve">% nuclear, </w:t>
      </w:r>
      <w:r w:rsidR="00C876BC">
        <w:t>5</w:t>
      </w:r>
      <w:r>
        <w:t xml:space="preserve">% hydro, and </w:t>
      </w:r>
      <w:r w:rsidR="0020035A">
        <w:t>19</w:t>
      </w:r>
      <w:r>
        <w:t xml:space="preserve">% other (Solar, Solar + Storage, Wind, DSO, and Biomass). Over the course of the planning horizon, the capacity mix will change due to many factors, including, but not limited to, unit rating changes, resource additions, nuclear license expirations, power purchase agreement expirations, and retirements. </w:t>
      </w:r>
      <w:r w:rsidR="003007D8">
        <w:t xml:space="preserve">For scenarios that include the 111 GHG Rules, the Company has chosen to reflect the co-fire pathway with retirement by 2039 for existing coal units. </w:t>
      </w:r>
      <w:r w:rsidR="00C65DCC">
        <w:t>While</w:t>
      </w:r>
      <w:r>
        <w:t xml:space="preserve"> discrete </w:t>
      </w:r>
      <w:r>
        <w:lastRenderedPageBreak/>
        <w:t xml:space="preserve">retirement dates of Company-owned generating units were </w:t>
      </w:r>
      <w:r w:rsidR="00CE236A">
        <w:t>used</w:t>
      </w:r>
      <w:r w:rsidR="004B302A">
        <w:t xml:space="preserve"> in </w:t>
      </w:r>
      <w:r w:rsidR="003D1BF0">
        <w:t>in the modeling</w:t>
      </w:r>
      <w:r w:rsidR="004B302A">
        <w:t>, these assumptions are</w:t>
      </w:r>
      <w:r w:rsidR="00713F5B">
        <w:t xml:space="preserve"> only</w:t>
      </w:r>
      <w:r w:rsidR="003D1BF0">
        <w:t xml:space="preserve"> for planning purposes</w:t>
      </w:r>
      <w:r w:rsidR="00CA1575">
        <w:t>.</w:t>
      </w:r>
      <w:r w:rsidR="00B771B8">
        <w:t xml:space="preserve"> </w:t>
      </w:r>
      <w:r w:rsidR="00B96B08">
        <w:t>Please r</w:t>
      </w:r>
      <w:r>
        <w:t xml:space="preserve">efer to Resource Mix Study </w:t>
      </w:r>
      <w:r w:rsidR="00994447">
        <w:t>“</w:t>
      </w:r>
      <w:r>
        <w:t>Georgia Power Territorial Base Case Load vs. Existing Capability Table</w:t>
      </w:r>
      <w:r w:rsidR="0096194A">
        <w:t xml:space="preserve"> – 2025 IRP</w:t>
      </w:r>
      <w:r w:rsidR="003833F5">
        <w:t>.xlsx”</w:t>
      </w:r>
      <w:r>
        <w:t xml:space="preserve"> for more details.</w:t>
      </w:r>
    </w:p>
    <w:p w14:paraId="5CCA4251" w14:textId="15E3DCBD" w:rsidR="006962F4" w:rsidRDefault="006962F4" w:rsidP="00D86E63">
      <w:pPr>
        <w:pStyle w:val="Heading3"/>
      </w:pPr>
      <w:bookmarkStart w:id="12" w:name="_Toc188405627"/>
      <w:r>
        <w:t>3.3.1 Demand-Side Options</w:t>
      </w:r>
      <w:bookmarkEnd w:id="12"/>
    </w:p>
    <w:p w14:paraId="10A8668B" w14:textId="5213D844" w:rsidR="006962F4" w:rsidRPr="006962F4" w:rsidRDefault="00CD11DC" w:rsidP="00D86E63">
      <w:r>
        <w:t>DSOs</w:t>
      </w:r>
      <w:r w:rsidR="006962F4" w:rsidRPr="006962F4">
        <w:t xml:space="preserve"> are either “dispatchable” or “non-dispatchable.” Examples of dispatchable DSO include interruptible load and other options that can be controlled and dispatched by a utility. Examples of non-dispatchable DSO include options such as insulation or end-use equipment efficiency, which are not directly controllable by a utility. </w:t>
      </w:r>
    </w:p>
    <w:p w14:paraId="27728E2E" w14:textId="63A3ED22" w:rsidR="006962F4" w:rsidRPr="006962F4" w:rsidRDefault="006962F4" w:rsidP="00D86E63">
      <w:r w:rsidRPr="006962F4">
        <w:t xml:space="preserve">Dispatchable DSOs were included as capacity resources in this study. Each interruptible contract load was appropriately adjusted to equate it to the supply side by one or more of the following corresponding factors: availability factor, loss factor, and Effective Load Carrying Capability (“ELCC”). For all operating companies, non-dispatchable DSOs are accounted for in the load forecast. </w:t>
      </w:r>
      <w:bookmarkStart w:id="13" w:name="_Hlk90981791"/>
      <w:r w:rsidRPr="006962F4">
        <w:t xml:space="preserve">Please see Resource Mix Study </w:t>
      </w:r>
      <w:r w:rsidR="007A549F">
        <w:t>“</w:t>
      </w:r>
      <w:r w:rsidR="003C1A29">
        <w:t>GPC</w:t>
      </w:r>
      <w:r w:rsidRPr="006962F4">
        <w:t xml:space="preserve"> and System DSO Data</w:t>
      </w:r>
      <w:r w:rsidR="00E12D92">
        <w:t xml:space="preserve"> TRADE SECRET</w:t>
      </w:r>
      <w:r w:rsidR="007A549F">
        <w:t>.xlsx”</w:t>
      </w:r>
      <w:r w:rsidRPr="006962F4">
        <w:t xml:space="preserve"> for additional information regarding DSO assumptions used in the </w:t>
      </w:r>
      <w:r>
        <w:t>2025 IRP</w:t>
      </w:r>
      <w:r w:rsidRPr="006962F4">
        <w:t>.</w:t>
      </w:r>
      <w:bookmarkEnd w:id="13"/>
    </w:p>
    <w:p w14:paraId="15593B8D" w14:textId="22BC205E" w:rsidR="006962F4" w:rsidRDefault="006962F4" w:rsidP="00D86E63">
      <w:r>
        <w:t xml:space="preserve">Figure </w:t>
      </w:r>
      <w:r w:rsidR="0021265E">
        <w:t>5</w:t>
      </w:r>
      <w:r>
        <w:t xml:space="preserve"> below shows the existing, planned, and committed </w:t>
      </w:r>
      <w:r w:rsidR="00EE6DD9">
        <w:t>S</w:t>
      </w:r>
      <w:r>
        <w:t xml:space="preserve">ystem capacity changes for the 2025 – 2044 period. </w:t>
      </w:r>
    </w:p>
    <w:p w14:paraId="17578F78" w14:textId="7563E986" w:rsidR="008F0C1F" w:rsidRDefault="008F0C1F" w:rsidP="00A65265">
      <w:pPr>
        <w:pStyle w:val="Caption"/>
      </w:pPr>
      <w:r w:rsidRPr="004A404D">
        <w:lastRenderedPageBreak/>
        <w:t xml:space="preserve">Figure </w:t>
      </w:r>
      <w:r w:rsidRPr="004A404D">
        <w:fldChar w:fldCharType="begin"/>
      </w:r>
      <w:r w:rsidRPr="004A404D">
        <w:instrText xml:space="preserve"> SEQ Figure \* ARABIC </w:instrText>
      </w:r>
      <w:r w:rsidRPr="004A404D">
        <w:fldChar w:fldCharType="separate"/>
      </w:r>
      <w:r w:rsidRPr="004A404D">
        <w:rPr>
          <w:noProof/>
        </w:rPr>
        <w:t>5</w:t>
      </w:r>
      <w:r w:rsidRPr="004A404D">
        <w:rPr>
          <w:noProof/>
        </w:rPr>
        <w:fldChar w:fldCharType="end"/>
      </w:r>
      <w:r w:rsidRPr="004A404D">
        <w:t>: Retail Operating Companies' Existing and Planned Capacity Forecast</w:t>
      </w:r>
    </w:p>
    <w:p w14:paraId="21A41755" w14:textId="1502AE92" w:rsidR="006962F4" w:rsidRDefault="008B6B4C" w:rsidP="008F0C1F">
      <w:pPr>
        <w:keepNext/>
      </w:pPr>
      <w:r>
        <w:rPr>
          <w:noProof/>
        </w:rPr>
        <mc:AlternateContent>
          <mc:Choice Requires="wps">
            <w:drawing>
              <wp:inline distT="0" distB="0" distL="0" distR="0" wp14:anchorId="22EFD84E" wp14:editId="2662B42F">
                <wp:extent cx="5907024" cy="3099816"/>
                <wp:effectExtent l="0" t="0" r="17780" b="24765"/>
                <wp:docPr id="1952873829" name="Rectangle 1"/>
                <wp:cNvGraphicFramePr/>
                <a:graphic xmlns:a="http://schemas.openxmlformats.org/drawingml/2006/main">
                  <a:graphicData uri="http://schemas.microsoft.com/office/word/2010/wordprocessingShape">
                    <wps:wsp>
                      <wps:cNvSpPr/>
                      <wps:spPr>
                        <a:xfrm>
                          <a:off x="0" y="0"/>
                          <a:ext cx="5907024" cy="3099816"/>
                        </a:xfrm>
                        <a:prstGeom prst="rect">
                          <a:avLst/>
                        </a:prstGeom>
                        <a:ln/>
                      </wps:spPr>
                      <wps:style>
                        <a:lnRef idx="2">
                          <a:schemeClr val="dk1"/>
                        </a:lnRef>
                        <a:fillRef idx="1">
                          <a:schemeClr val="lt1"/>
                        </a:fillRef>
                        <a:effectRef idx="0">
                          <a:schemeClr val="dk1"/>
                        </a:effectRef>
                        <a:fontRef idx="minor">
                          <a:schemeClr val="dk1"/>
                        </a:fontRef>
                      </wps:style>
                      <wps:txbx>
                        <w:txbxContent>
                          <w:p w14:paraId="464C9A51" w14:textId="4EC90B3B" w:rsidR="008B20BF" w:rsidRPr="008B20BF" w:rsidRDefault="008B20BF" w:rsidP="008B20BF">
                            <w:pPr>
                              <w:jc w:val="center"/>
                              <w:rPr>
                                <w:b/>
                                <w:bCs/>
                              </w:rPr>
                            </w:pPr>
                            <w:r w:rsidRPr="008B20BF">
                              <w:rPr>
                                <w:b/>
                                <w:bCs/>
                              </w:rPr>
                              <w:t>REDACTED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2EFD84E" id="Rectangle 1" o:spid="_x0000_s1026" style="width:465.1pt;height:244.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" fillcolor="white [3201]" strokecolor="black [3200]" strokeweight="1pt">
                <v:textbox>
                  <w:txbxContent>
                    <w:p w14:paraId="464C9A51" w14:textId="4EC90B3B" w:rsidR="008B20BF" w:rsidRPr="008B20BF" w:rsidRDefault="008B20BF" w:rsidP="008B20BF">
                      <w:pPr>
                        <w:jc w:val="center"/>
                        <w:rPr>
                          <w:b/>
                          <w:bCs/>
                        </w:rPr>
                      </w:pPr>
                      <w:r w:rsidRPr="008B20BF">
                        <w:rPr>
                          <w:b/>
                          <w:bCs/>
                        </w:rPr>
                        <w:t>REDACTED</w:t>
                      </w:r>
                    </w:p>
                  </w:txbxContent>
                </v:textbox>
                <w10:anchorlock/>
              </v:rect>
            </w:pict>
          </mc:Fallback>
        </mc:AlternateContent>
      </w:r>
    </w:p>
    <w:p w14:paraId="20D2D4FC" w14:textId="51E4312B" w:rsidR="006962F4" w:rsidRDefault="006962F4" w:rsidP="00D86E63">
      <w:pPr>
        <w:pStyle w:val="Heading2"/>
      </w:pPr>
      <w:bookmarkStart w:id="14" w:name="_Toc188405628"/>
      <w:r>
        <w:t>3.4 Load Forecast</w:t>
      </w:r>
      <w:bookmarkEnd w:id="14"/>
    </w:p>
    <w:p w14:paraId="243DBA26" w14:textId="4E9FDD7F" w:rsidR="006962F4" w:rsidRDefault="00FE5F76" w:rsidP="00D86E63">
      <w:r>
        <w:t>As described in section 2.2.</w:t>
      </w:r>
      <w:r w:rsidR="00B30513">
        <w:t>3</w:t>
      </w:r>
      <w:r>
        <w:t xml:space="preserve"> Load Views, the Company produces specific load forecasts for multiple scenario views to address the uncertainty of future electricity consumption. </w:t>
      </w:r>
      <w:r w:rsidR="006962F4">
        <w:t xml:space="preserve">Load forecasts were provided by each retail operating company. The System peak demand is the sum of each retail operating </w:t>
      </w:r>
      <w:r w:rsidR="7822647E">
        <w:t>company’s</w:t>
      </w:r>
      <w:r w:rsidR="006962F4">
        <w:t xml:space="preserve"> non-coincident peak demand multiplied by a load diversity factor. The diversity percentages are based on a historical ten-year average of monthly diversities from 2014 through 2023. More information on the Company’s load forecasts can be found in the 2025 IRP Main Document and the </w:t>
      </w:r>
      <w:r w:rsidR="004510DA">
        <w:t xml:space="preserve">B2025 </w:t>
      </w:r>
      <w:r w:rsidR="006962F4">
        <w:t>Load and Energy Forecast in Technical Appendix</w:t>
      </w:r>
      <w:r w:rsidR="00E904B9">
        <w:t xml:space="preserve"> Volume 1</w:t>
      </w:r>
      <w:r w:rsidR="006962F4">
        <w:t xml:space="preserve">. </w:t>
      </w:r>
    </w:p>
    <w:p w14:paraId="77635C63" w14:textId="5C18EB35" w:rsidR="00FE5F76" w:rsidRDefault="00FE5F76" w:rsidP="00D86E63">
      <w:pPr>
        <w:pStyle w:val="Heading2"/>
      </w:pPr>
      <w:bookmarkStart w:id="15" w:name="_Toc188405629"/>
      <w:r>
        <w:t>3.5 Fuel Forecast</w:t>
      </w:r>
      <w:bookmarkEnd w:id="15"/>
    </w:p>
    <w:p w14:paraId="658DBDD9" w14:textId="01054252" w:rsidR="00702F3F" w:rsidRDefault="0056639C" w:rsidP="003C69C3">
      <w:pPr>
        <w:pStyle w:val="Heading4"/>
      </w:pPr>
      <w:r w:rsidRPr="009C70EF">
        <w:t>Short-</w:t>
      </w:r>
      <w:r>
        <w:t xml:space="preserve"> and Long-</w:t>
      </w:r>
      <w:r w:rsidRPr="00256E33">
        <w:t>Term Future Natural Gas Prices</w:t>
      </w:r>
    </w:p>
    <w:p w14:paraId="18CD802A" w14:textId="77777777" w:rsidR="00F97467" w:rsidRDefault="009D26B1" w:rsidP="0053440E">
      <w:r>
        <w:t xml:space="preserve">The natural gas price views that the </w:t>
      </w:r>
      <w:r w:rsidR="002B68AF">
        <w:t xml:space="preserve">Company </w:t>
      </w:r>
      <w:r w:rsidR="00473342">
        <w:t xml:space="preserve">has used for </w:t>
      </w:r>
      <w:r w:rsidR="00156E5A">
        <w:t xml:space="preserve">the </w:t>
      </w:r>
      <w:r w:rsidR="00473342">
        <w:t xml:space="preserve">B2025 </w:t>
      </w:r>
      <w:r w:rsidR="00156E5A">
        <w:t>Mix Study</w:t>
      </w:r>
      <w:r w:rsidR="008D5008">
        <w:t xml:space="preserve"> combines </w:t>
      </w:r>
      <w:r w:rsidR="00880515">
        <w:t xml:space="preserve">different sources of information for short- and long-term </w:t>
      </w:r>
      <w:r w:rsidR="006156A7">
        <w:t>natural gas</w:t>
      </w:r>
      <w:r w:rsidR="00880515">
        <w:t xml:space="preserve"> price</w:t>
      </w:r>
      <w:r w:rsidR="00E05B5A">
        <w:t xml:space="preserve"> forecast</w:t>
      </w:r>
      <w:r w:rsidR="0006730B">
        <w:t xml:space="preserve">s. </w:t>
      </w:r>
      <w:r w:rsidR="6A050650">
        <w:t xml:space="preserve">For these views, the Company focuses on </w:t>
      </w:r>
      <w:r w:rsidR="1A21B362">
        <w:t>the</w:t>
      </w:r>
      <w:r w:rsidR="6A050650">
        <w:t xml:space="preserve"> price of natural gas at the Henry Hub</w:t>
      </w:r>
      <w:r w:rsidR="0794BCD3">
        <w:t xml:space="preserve"> (a </w:t>
      </w:r>
      <w:r w:rsidR="448A7937">
        <w:t>reference</w:t>
      </w:r>
      <w:r w:rsidR="0794BCD3">
        <w:t xml:space="preserve"> location in south-central Louisiana)</w:t>
      </w:r>
      <w:r w:rsidR="6A050650">
        <w:t>. This is a</w:t>
      </w:r>
      <w:r w:rsidR="1A1D2037">
        <w:t xml:space="preserve"> common benchmark in the natural gas industry. These </w:t>
      </w:r>
      <w:r w:rsidR="44E64A45">
        <w:t>are the</w:t>
      </w:r>
      <w:r w:rsidR="1A1D2037">
        <w:t xml:space="preserve"> prices </w:t>
      </w:r>
      <w:r w:rsidR="67580D29">
        <w:t>to which a delivery cost is added to get</w:t>
      </w:r>
      <w:r w:rsidR="1A1D2037">
        <w:t xml:space="preserve"> t</w:t>
      </w:r>
      <w:r w:rsidR="2792CDA4">
        <w:t xml:space="preserve">he </w:t>
      </w:r>
      <w:r w:rsidR="754BD169">
        <w:t xml:space="preserve">price of natural gas </w:t>
      </w:r>
      <w:r w:rsidR="2792CDA4">
        <w:t xml:space="preserve">delivered </w:t>
      </w:r>
      <w:r w:rsidR="67E3E6DC">
        <w:t>to</w:t>
      </w:r>
      <w:r w:rsidR="2792CDA4">
        <w:t xml:space="preserve"> any </w:t>
      </w:r>
      <w:r w:rsidR="1B0F8C7F">
        <w:t>individual</w:t>
      </w:r>
      <w:r w:rsidR="2792CDA4">
        <w:t xml:space="preserve"> unit.</w:t>
      </w:r>
      <w:r w:rsidR="0006730B">
        <w:t xml:space="preserve"> </w:t>
      </w:r>
    </w:p>
    <w:p w14:paraId="2C1A8E1D" w14:textId="4F30A8EE" w:rsidR="0053440E" w:rsidRPr="009C70EF" w:rsidRDefault="0045689D" w:rsidP="0053440E">
      <w:pPr>
        <w:rPr>
          <w:rFonts w:eastAsia="Cambria" w:cs="Cambria"/>
          <w:color w:val="000000" w:themeColor="text1"/>
        </w:rPr>
      </w:pPr>
      <w:r>
        <w:lastRenderedPageBreak/>
        <w:t xml:space="preserve">For </w:t>
      </w:r>
      <w:r w:rsidR="00B21F70">
        <w:t>th</w:t>
      </w:r>
      <w:r w:rsidR="005E5202">
        <w:t xml:space="preserve">e </w:t>
      </w:r>
      <w:r>
        <w:t>short-term natural gas price</w:t>
      </w:r>
      <w:r w:rsidR="00B21F70">
        <w:t xml:space="preserve"> forecast</w:t>
      </w:r>
      <w:r w:rsidR="0004788C">
        <w:t xml:space="preserve"> (through 2026)</w:t>
      </w:r>
      <w:r>
        <w:t xml:space="preserve">, </w:t>
      </w:r>
      <w:r w:rsidR="0004788C">
        <w:t>t</w:t>
      </w:r>
      <w:r w:rsidR="0053440E" w:rsidRPr="009C70EF">
        <w:rPr>
          <w:rFonts w:eastAsia="Cambria" w:cs="Cambria"/>
          <w:color w:val="000000" w:themeColor="text1"/>
        </w:rPr>
        <w:t xml:space="preserve">he </w:t>
      </w:r>
      <w:r w:rsidR="0053440E">
        <w:rPr>
          <w:rFonts w:eastAsia="Cambria" w:cs="Cambria"/>
          <w:color w:val="000000" w:themeColor="text1"/>
        </w:rPr>
        <w:t>C</w:t>
      </w:r>
      <w:r w:rsidR="0053440E" w:rsidRPr="009C70EF">
        <w:rPr>
          <w:rFonts w:eastAsia="Cambria" w:cs="Cambria"/>
          <w:color w:val="000000" w:themeColor="text1"/>
        </w:rPr>
        <w:t>ompany adopts average closing prices on the New York Mercantile Exchange (</w:t>
      </w:r>
      <w:r w:rsidR="0053440E">
        <w:rPr>
          <w:rFonts w:eastAsia="Cambria" w:cs="Cambria"/>
          <w:color w:val="000000" w:themeColor="text1"/>
        </w:rPr>
        <w:t>“</w:t>
      </w:r>
      <w:r w:rsidR="0053440E" w:rsidRPr="009E1D5B">
        <w:rPr>
          <w:rFonts w:eastAsia="Cambria" w:cs="Cambria"/>
          <w:color w:val="000000" w:themeColor="text1"/>
        </w:rPr>
        <w:t>NYMEX</w:t>
      </w:r>
      <w:r w:rsidR="0053440E">
        <w:rPr>
          <w:rFonts w:eastAsia="Cambria" w:cs="Cambria"/>
          <w:color w:val="000000" w:themeColor="text1"/>
        </w:rPr>
        <w:t>”</w:t>
      </w:r>
      <w:r w:rsidR="0053440E" w:rsidRPr="009C70EF">
        <w:rPr>
          <w:rFonts w:eastAsia="Cambria" w:cs="Cambria"/>
          <w:color w:val="000000" w:themeColor="text1"/>
        </w:rPr>
        <w:t>) of natural gas contracts for future delivery</w:t>
      </w:r>
      <w:r w:rsidR="0053440E">
        <w:rPr>
          <w:rFonts w:eastAsia="Cambria" w:cs="Cambria"/>
          <w:color w:val="000000" w:themeColor="text1"/>
        </w:rPr>
        <w:t xml:space="preserve">. </w:t>
      </w:r>
      <w:r w:rsidR="0053440E" w:rsidRPr="009C70EF">
        <w:rPr>
          <w:rFonts w:eastAsia="Cambria" w:cs="Cambria"/>
          <w:color w:val="000000" w:themeColor="text1"/>
        </w:rPr>
        <w:t xml:space="preserve">The </w:t>
      </w:r>
      <w:r w:rsidR="0053440E">
        <w:rPr>
          <w:rFonts w:eastAsia="Cambria" w:cs="Cambria"/>
          <w:color w:val="000000" w:themeColor="text1"/>
        </w:rPr>
        <w:t>C</w:t>
      </w:r>
      <w:r w:rsidR="0053440E" w:rsidRPr="009C70EF">
        <w:rPr>
          <w:rFonts w:eastAsia="Cambria" w:cs="Cambria"/>
          <w:color w:val="000000" w:themeColor="text1"/>
        </w:rPr>
        <w:t xml:space="preserve">ompany adopts only one short-term view of future natural gas prices. </w:t>
      </w:r>
    </w:p>
    <w:p w14:paraId="17395943" w14:textId="5D4243B6" w:rsidR="00AE1489" w:rsidRDefault="00F74F51" w:rsidP="00AE1489">
      <w:r>
        <w:t xml:space="preserve">As </w:t>
      </w:r>
      <w:r w:rsidR="007B3D58">
        <w:t>described previously</w:t>
      </w:r>
      <w:r>
        <w:t>, t</w:t>
      </w:r>
      <w:r w:rsidR="00B21F70">
        <w:t xml:space="preserve">he Company </w:t>
      </w:r>
      <w:r w:rsidR="005648AD">
        <w:t>adopted</w:t>
      </w:r>
      <w:r w:rsidR="00AE1489">
        <w:t xml:space="preserve"> three different views of long-term</w:t>
      </w:r>
      <w:r w:rsidR="004127EA">
        <w:t xml:space="preserve"> (2029 through 2050)</w:t>
      </w:r>
      <w:r w:rsidR="00AE1489">
        <w:t xml:space="preserve"> future natural gas prices</w:t>
      </w:r>
      <w:r w:rsidR="00197FC4">
        <w:t xml:space="preserve"> </w:t>
      </w:r>
      <w:r w:rsidR="007B3D58">
        <w:t xml:space="preserve">for B2025 </w:t>
      </w:r>
      <w:r w:rsidR="00BA6729">
        <w:t xml:space="preserve">that are </w:t>
      </w:r>
      <w:r w:rsidR="00197FC4">
        <w:t>based on AEO views</w:t>
      </w:r>
      <w:r w:rsidR="00AE1489">
        <w:t>:</w:t>
      </w:r>
    </w:p>
    <w:p w14:paraId="0E222481" w14:textId="2DC55455" w:rsidR="00AE1489" w:rsidRDefault="00AE1489" w:rsidP="00AE1489">
      <w:pPr>
        <w:pStyle w:val="ListParagraph"/>
        <w:numPr>
          <w:ilvl w:val="0"/>
          <w:numId w:val="4"/>
        </w:numPr>
      </w:pPr>
      <w:r w:rsidRPr="004F01A3">
        <w:rPr>
          <w:i/>
          <w:iCs/>
        </w:rPr>
        <w:t>Lower</w:t>
      </w:r>
      <w:r>
        <w:t xml:space="preserve"> price view: AEO’s High Oil and Gas Supply case</w:t>
      </w:r>
    </w:p>
    <w:p w14:paraId="4EDF0F13" w14:textId="604DDD04" w:rsidR="00AE1489" w:rsidRDefault="00AE1489" w:rsidP="00AE1489">
      <w:pPr>
        <w:pStyle w:val="ListParagraph"/>
        <w:numPr>
          <w:ilvl w:val="0"/>
          <w:numId w:val="4"/>
        </w:numPr>
      </w:pPr>
      <w:r w:rsidRPr="004F01A3">
        <w:rPr>
          <w:i/>
          <w:iCs/>
        </w:rPr>
        <w:t>Moderate</w:t>
      </w:r>
      <w:r>
        <w:t xml:space="preserve"> price view: AEO’s Reference case</w:t>
      </w:r>
    </w:p>
    <w:p w14:paraId="5E523E2B" w14:textId="15846E31" w:rsidR="00AE1489" w:rsidRDefault="00AE1489" w:rsidP="00AE1489">
      <w:pPr>
        <w:pStyle w:val="ListParagraph"/>
        <w:numPr>
          <w:ilvl w:val="0"/>
          <w:numId w:val="4"/>
        </w:numPr>
      </w:pPr>
      <w:r w:rsidRPr="004F01A3">
        <w:rPr>
          <w:i/>
          <w:iCs/>
        </w:rPr>
        <w:t>Higher</w:t>
      </w:r>
      <w:r>
        <w:t xml:space="preserve"> price view: AEO’s Low Oil and Gas Supply case</w:t>
      </w:r>
    </w:p>
    <w:p w14:paraId="053B52B4" w14:textId="18693CF2" w:rsidR="00702F3F" w:rsidRPr="009C70EF" w:rsidRDefault="006367A1" w:rsidP="00702F3F">
      <w:pPr>
        <w:rPr>
          <w:rFonts w:eastAsia="Cambria" w:cs="Cambria"/>
          <w:color w:val="000000" w:themeColor="text1"/>
        </w:rPr>
      </w:pPr>
      <w:r>
        <w:rPr>
          <w:rFonts w:eastAsia="Cambria" w:cs="Cambria"/>
          <w:color w:val="000000" w:themeColor="text1"/>
        </w:rPr>
        <w:t>Natural gas prices</w:t>
      </w:r>
      <w:r w:rsidR="00702F3F" w:rsidRPr="009C70EF">
        <w:rPr>
          <w:rFonts w:eastAsia="Cambria" w:cs="Cambria"/>
          <w:color w:val="000000" w:themeColor="text1"/>
        </w:rPr>
        <w:t xml:space="preserve"> for 2027 and 2028 are </w:t>
      </w:r>
      <w:r>
        <w:rPr>
          <w:rFonts w:eastAsia="Cambria" w:cs="Cambria"/>
          <w:color w:val="000000" w:themeColor="text1"/>
        </w:rPr>
        <w:t xml:space="preserve">based on </w:t>
      </w:r>
      <w:r w:rsidR="00702F3F" w:rsidRPr="009C70EF">
        <w:rPr>
          <w:rFonts w:eastAsia="Cambria" w:cs="Cambria"/>
          <w:color w:val="000000" w:themeColor="text1"/>
        </w:rPr>
        <w:t xml:space="preserve">a linear interpolation between the 2026 </w:t>
      </w:r>
      <w:r>
        <w:rPr>
          <w:rFonts w:eastAsia="Cambria" w:cs="Cambria"/>
          <w:color w:val="000000" w:themeColor="text1"/>
        </w:rPr>
        <w:t xml:space="preserve">(NYMEX) </w:t>
      </w:r>
      <w:r w:rsidR="00702F3F" w:rsidRPr="009C70EF">
        <w:rPr>
          <w:rFonts w:eastAsia="Cambria" w:cs="Cambria"/>
          <w:color w:val="000000" w:themeColor="text1"/>
        </w:rPr>
        <w:t xml:space="preserve">and 2029 </w:t>
      </w:r>
      <w:r>
        <w:rPr>
          <w:rFonts w:eastAsia="Cambria" w:cs="Cambria"/>
          <w:color w:val="000000" w:themeColor="text1"/>
        </w:rPr>
        <w:t xml:space="preserve">(AEO) </w:t>
      </w:r>
      <w:r w:rsidR="00702F3F" w:rsidRPr="009C70EF">
        <w:rPr>
          <w:rFonts w:eastAsia="Cambria" w:cs="Cambria"/>
          <w:color w:val="000000" w:themeColor="text1"/>
        </w:rPr>
        <w:t xml:space="preserve">values. The AEO provides price paths through 2050. Beyond 2050, the </w:t>
      </w:r>
      <w:r w:rsidR="00702F3F">
        <w:rPr>
          <w:rFonts w:eastAsia="Cambria" w:cs="Cambria"/>
          <w:color w:val="000000" w:themeColor="text1"/>
        </w:rPr>
        <w:t>C</w:t>
      </w:r>
      <w:r w:rsidR="00702F3F" w:rsidRPr="009C70EF">
        <w:rPr>
          <w:rFonts w:eastAsia="Cambria" w:cs="Cambria"/>
          <w:color w:val="000000" w:themeColor="text1"/>
        </w:rPr>
        <w:t xml:space="preserve">ompany extrapolates the price path from its slope for its last 10 years. </w:t>
      </w:r>
      <w:r w:rsidR="00FE1AFC">
        <w:rPr>
          <w:rFonts w:eastAsia="Cambria" w:cs="Cambria"/>
          <w:color w:val="000000" w:themeColor="text1"/>
        </w:rPr>
        <w:t>T</w:t>
      </w:r>
      <w:r w:rsidR="002024E8">
        <w:rPr>
          <w:rFonts w:eastAsia="Cambria" w:cs="Cambria"/>
          <w:color w:val="000000" w:themeColor="text1"/>
        </w:rPr>
        <w:t>he three n</w:t>
      </w:r>
      <w:r w:rsidR="00AE0106">
        <w:rPr>
          <w:rFonts w:eastAsia="Cambria" w:cs="Cambria"/>
          <w:color w:val="000000" w:themeColor="text1"/>
        </w:rPr>
        <w:t xml:space="preserve">atural gas views </w:t>
      </w:r>
      <w:r w:rsidR="00FE1AFC">
        <w:rPr>
          <w:rFonts w:eastAsia="Cambria" w:cs="Cambria"/>
          <w:color w:val="000000" w:themeColor="text1"/>
        </w:rPr>
        <w:t>are</w:t>
      </w:r>
      <w:r w:rsidR="00702F3F" w:rsidRPr="009C70EF">
        <w:rPr>
          <w:rFonts w:eastAsia="Cambria" w:cs="Cambria"/>
          <w:color w:val="000000" w:themeColor="text1"/>
        </w:rPr>
        <w:t xml:space="preserve"> illustrated in Figure </w:t>
      </w:r>
      <w:r w:rsidR="00525C35">
        <w:rPr>
          <w:rFonts w:eastAsia="Cambria" w:cs="Cambria"/>
          <w:color w:val="000000" w:themeColor="text1"/>
        </w:rPr>
        <w:t>6</w:t>
      </w:r>
      <w:r w:rsidR="00702F3F" w:rsidRPr="009C70EF">
        <w:rPr>
          <w:rFonts w:eastAsia="Cambria" w:cs="Cambria"/>
          <w:color w:val="000000" w:themeColor="text1"/>
        </w:rPr>
        <w:t>.</w:t>
      </w:r>
    </w:p>
    <w:p w14:paraId="5D9E720A" w14:textId="77777777" w:rsidR="00702F3F" w:rsidRDefault="00702F3F" w:rsidP="00D86E63"/>
    <w:p w14:paraId="0B3C704D" w14:textId="1264A303" w:rsidR="00996132" w:rsidRDefault="00996132" w:rsidP="00A65265">
      <w:pPr>
        <w:pStyle w:val="Caption"/>
      </w:pPr>
      <w:r>
        <w:t xml:space="preserve">Figure </w:t>
      </w:r>
      <w:r w:rsidR="00C877B3">
        <w:fldChar w:fldCharType="begin"/>
      </w:r>
      <w:r w:rsidR="00C877B3">
        <w:instrText xml:space="preserve"> SEQ Figure \* ARABIC </w:instrText>
      </w:r>
      <w:r w:rsidR="00C877B3">
        <w:fldChar w:fldCharType="separate"/>
      </w:r>
      <w:r w:rsidR="00C877B3">
        <w:rPr>
          <w:noProof/>
        </w:rPr>
        <w:t>6</w:t>
      </w:r>
      <w:r w:rsidR="00C877B3">
        <w:rPr>
          <w:noProof/>
        </w:rPr>
        <w:fldChar w:fldCharType="end"/>
      </w:r>
      <w:r>
        <w:t xml:space="preserve">: </w:t>
      </w:r>
      <w:r w:rsidR="005C602F">
        <w:t>Views of</w:t>
      </w:r>
      <w:r>
        <w:t xml:space="preserve"> </w:t>
      </w:r>
      <w:r w:rsidR="00F56FCB">
        <w:t>f</w:t>
      </w:r>
      <w:r>
        <w:t>uture</w:t>
      </w:r>
      <w:r w:rsidR="00F56FCB">
        <w:t xml:space="preserve"> price of</w:t>
      </w:r>
      <w:r>
        <w:t xml:space="preserve"> Natural Gas </w:t>
      </w:r>
      <w:r w:rsidR="001F33AD">
        <w:t>at Henry Hub</w:t>
      </w:r>
    </w:p>
    <w:p w14:paraId="53AE9E4F" w14:textId="36B9852F" w:rsidR="0080676B" w:rsidRDefault="00A14E92" w:rsidP="00250FAD">
      <w:pPr>
        <w:keepNext/>
        <w:jc w:val="center"/>
      </w:pPr>
      <w:r>
        <w:rPr>
          <w:noProof/>
        </w:rPr>
        <w:drawing>
          <wp:inline distT="0" distB="0" distL="0" distR="0" wp14:anchorId="1C9DF1E9" wp14:editId="72564531">
            <wp:extent cx="5486400" cy="2938780"/>
            <wp:effectExtent l="0" t="0" r="0" b="0"/>
            <wp:docPr id="1127883558" name="Picture 19">
              <a:extLst xmlns:a="http://schemas.openxmlformats.org/drawingml/2006/main">
                <a:ext uri="{FF2B5EF4-FFF2-40B4-BE49-F238E27FC236}">
                  <a16:creationId xmlns:a16="http://schemas.microsoft.com/office/drawing/2014/main" id="{08012455-E035-2C10-8D39-1A249C7C59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9">
                      <a:extLst>
                        <a:ext uri="{FF2B5EF4-FFF2-40B4-BE49-F238E27FC236}">
                          <a16:creationId xmlns:a16="http://schemas.microsoft.com/office/drawing/2014/main" id="{08012455-E035-2C10-8D39-1A249C7C59FD}"/>
                        </a:ext>
                      </a:extLst>
                    </pic:cNvPr>
                    <pic:cNvPicPr>
                      <a:picLocks noChangeAspect="1"/>
                    </pic:cNvPicPr>
                  </pic:nvPicPr>
                  <pic:blipFill rotWithShape="1">
                    <a:blip r:embed="rId22"/>
                    <a:srcRect t="9663"/>
                    <a:stretch/>
                  </pic:blipFill>
                  <pic:spPr bwMode="auto">
                    <a:xfrm>
                      <a:off x="0" y="0"/>
                      <a:ext cx="5486400" cy="2938780"/>
                    </a:xfrm>
                    <a:prstGeom prst="rect">
                      <a:avLst/>
                    </a:prstGeom>
                    <a:ln>
                      <a:noFill/>
                    </a:ln>
                    <a:extLst>
                      <a:ext uri="{53640926-AAD7-44D8-BBD7-CCE9431645EC}">
                        <a14:shadowObscured xmlns:a14="http://schemas.microsoft.com/office/drawing/2010/main"/>
                      </a:ext>
                    </a:extLst>
                  </pic:spPr>
                </pic:pic>
              </a:graphicData>
            </a:graphic>
          </wp:inline>
        </w:drawing>
      </w:r>
    </w:p>
    <w:p w14:paraId="33B64BA8" w14:textId="486F02F6" w:rsidR="005931B2" w:rsidRDefault="003678F9" w:rsidP="00C66DC1">
      <w:r>
        <w:t xml:space="preserve">The candidate expansion unit gas price is a capacity need weighted average, by retail operating company, of several potential plant locations throughout the Southern Company System. </w:t>
      </w:r>
      <w:r w:rsidR="00E63572">
        <w:t>NG</w:t>
      </w:r>
      <w:r w:rsidR="00BC6577">
        <w:t>CC</w:t>
      </w:r>
      <w:r>
        <w:t xml:space="preserve"> additions include the cost of contracting for firm annual natural gas delivery</w:t>
      </w:r>
      <w:r w:rsidR="00A16F85">
        <w:t xml:space="preserve">, while </w:t>
      </w:r>
      <w:r w:rsidR="00BC6577">
        <w:t>CT</w:t>
      </w:r>
      <w:r>
        <w:t xml:space="preserve"> additions include the cost of contracting firm summer only natural gas delivery.</w:t>
      </w:r>
    </w:p>
    <w:p w14:paraId="1521A6A8" w14:textId="77777777" w:rsidR="005C602F" w:rsidRPr="00256E33" w:rsidRDefault="005C602F" w:rsidP="00825A18">
      <w:pPr>
        <w:pStyle w:val="Heading4"/>
      </w:pPr>
      <w:r w:rsidRPr="00547FAA">
        <w:lastRenderedPageBreak/>
        <w:t xml:space="preserve">Future </w:t>
      </w:r>
      <w:r w:rsidRPr="00256E33">
        <w:t>Coal and Oil Prices</w:t>
      </w:r>
    </w:p>
    <w:p w14:paraId="47034237" w14:textId="686F12ED" w:rsidR="005C602F" w:rsidRPr="009E1D5B" w:rsidRDefault="005C602F" w:rsidP="005C602F">
      <w:pPr>
        <w:rPr>
          <w:rFonts w:eastAsia="Cambria" w:cs="Cambria"/>
          <w:color w:val="000000" w:themeColor="text1"/>
        </w:rPr>
      </w:pPr>
      <w:r w:rsidRPr="009E1D5B">
        <w:rPr>
          <w:rFonts w:eastAsia="Cambria" w:cs="Cambria"/>
          <w:color w:val="000000" w:themeColor="text1"/>
        </w:rPr>
        <w:t xml:space="preserve">The </w:t>
      </w:r>
      <w:r>
        <w:rPr>
          <w:rFonts w:eastAsia="Cambria" w:cs="Cambria"/>
          <w:color w:val="000000" w:themeColor="text1"/>
        </w:rPr>
        <w:t>future</w:t>
      </w:r>
      <w:r w:rsidRPr="009E1D5B">
        <w:rPr>
          <w:rFonts w:eastAsia="Cambria" w:cs="Cambria"/>
          <w:color w:val="000000" w:themeColor="text1"/>
        </w:rPr>
        <w:t xml:space="preserve"> price of coal and oil is also uncertain. For </w:t>
      </w:r>
      <w:r>
        <w:rPr>
          <w:rFonts w:eastAsia="Cambria" w:cs="Cambria"/>
          <w:color w:val="000000" w:themeColor="text1"/>
        </w:rPr>
        <w:t>B</w:t>
      </w:r>
      <w:r w:rsidRPr="009E1D5B">
        <w:rPr>
          <w:rFonts w:eastAsia="Cambria" w:cs="Cambria"/>
          <w:color w:val="000000" w:themeColor="text1"/>
        </w:rPr>
        <w:t xml:space="preserve">2025, the </w:t>
      </w:r>
      <w:r>
        <w:rPr>
          <w:rFonts w:eastAsia="Cambria" w:cs="Cambria"/>
          <w:color w:val="000000" w:themeColor="text1"/>
        </w:rPr>
        <w:t>C</w:t>
      </w:r>
      <w:r w:rsidRPr="009E1D5B">
        <w:rPr>
          <w:rFonts w:eastAsia="Cambria" w:cs="Cambria"/>
          <w:color w:val="000000" w:themeColor="text1"/>
        </w:rPr>
        <w:t>ompany has adopted three different views of future coal prices and three different views of future oil prices. These views are the coal and oil price paths from the AEO 2023 Reference, High Oil and Gas Supply</w:t>
      </w:r>
      <w:r>
        <w:rPr>
          <w:rFonts w:eastAsia="Cambria" w:cs="Cambria"/>
          <w:color w:val="000000" w:themeColor="text1"/>
        </w:rPr>
        <w:t>,</w:t>
      </w:r>
      <w:r w:rsidRPr="00B60B51">
        <w:rPr>
          <w:rFonts w:eastAsia="Cambria" w:cs="Cambria"/>
          <w:color w:val="000000" w:themeColor="text1"/>
        </w:rPr>
        <w:t xml:space="preserve"> and Low Oil and Gas Supply cases.</w:t>
      </w:r>
      <w:r>
        <w:rPr>
          <w:rFonts w:eastAsia="Cambria" w:cs="Cambria"/>
          <w:color w:val="000000" w:themeColor="text1"/>
        </w:rPr>
        <w:t xml:space="preserve"> </w:t>
      </w:r>
      <w:r w:rsidRPr="009E1D5B">
        <w:rPr>
          <w:rFonts w:eastAsia="Cambria" w:cs="Cambria"/>
          <w:color w:val="000000" w:themeColor="text1"/>
        </w:rPr>
        <w:t xml:space="preserve">These price paths are illustrated in Figures </w:t>
      </w:r>
      <w:r w:rsidR="00BC6577">
        <w:rPr>
          <w:rFonts w:eastAsia="Cambria" w:cs="Cambria"/>
          <w:color w:val="000000" w:themeColor="text1"/>
        </w:rPr>
        <w:t>7-</w:t>
      </w:r>
      <w:r w:rsidR="003931EC">
        <w:rPr>
          <w:rFonts w:eastAsia="Cambria" w:cs="Cambria"/>
          <w:color w:val="000000" w:themeColor="text1"/>
        </w:rPr>
        <w:t>10</w:t>
      </w:r>
      <w:r w:rsidRPr="009E1D5B">
        <w:rPr>
          <w:rFonts w:eastAsia="Cambria" w:cs="Cambria"/>
          <w:color w:val="000000" w:themeColor="text1"/>
        </w:rPr>
        <w:t xml:space="preserve">. </w:t>
      </w:r>
    </w:p>
    <w:p w14:paraId="631000E2" w14:textId="50022631" w:rsidR="005C602F" w:rsidRPr="009E1D5B" w:rsidRDefault="005C602F" w:rsidP="005C602F">
      <w:pPr>
        <w:rPr>
          <w:rFonts w:eastAsia="Cambria" w:cs="Cambria"/>
          <w:color w:val="000000" w:themeColor="text1"/>
        </w:rPr>
      </w:pPr>
      <w:r w:rsidRPr="009E1D5B">
        <w:rPr>
          <w:rFonts w:eastAsia="Cambria" w:cs="Cambria"/>
          <w:color w:val="000000" w:themeColor="text1"/>
        </w:rPr>
        <w:t>The relationship between the future price of coal and the future supply of oil and gas is not straightforward. In general, coal and natural gas are substitutes for each other</w:t>
      </w:r>
      <w:r w:rsidR="005C0C94">
        <w:rPr>
          <w:rFonts w:eastAsia="Cambria" w:cs="Cambria"/>
          <w:color w:val="000000" w:themeColor="text1"/>
        </w:rPr>
        <w:t>,</w:t>
      </w:r>
      <w:r w:rsidRPr="009E1D5B">
        <w:rPr>
          <w:rFonts w:eastAsia="Cambria" w:cs="Cambria"/>
          <w:color w:val="000000" w:themeColor="text1"/>
        </w:rPr>
        <w:t xml:space="preserve"> so when the price of gas is higher, the </w:t>
      </w:r>
      <w:r w:rsidR="0037696F">
        <w:rPr>
          <w:rFonts w:eastAsia="Cambria" w:cs="Cambria"/>
          <w:color w:val="000000" w:themeColor="text1"/>
        </w:rPr>
        <w:t>demand for</w:t>
      </w:r>
      <w:r w:rsidRPr="009E1D5B">
        <w:rPr>
          <w:rFonts w:eastAsia="Cambria" w:cs="Cambria"/>
          <w:color w:val="000000" w:themeColor="text1"/>
        </w:rPr>
        <w:t xml:space="preserve"> coal</w:t>
      </w:r>
      <w:r w:rsidR="008A018B">
        <w:rPr>
          <w:rFonts w:eastAsia="Cambria" w:cs="Cambria"/>
          <w:color w:val="000000" w:themeColor="text1"/>
        </w:rPr>
        <w:t xml:space="preserve">, </w:t>
      </w:r>
      <w:r w:rsidRPr="009E1D5B">
        <w:rPr>
          <w:rFonts w:eastAsia="Cambria" w:cs="Cambria"/>
          <w:color w:val="000000" w:themeColor="text1"/>
        </w:rPr>
        <w:t>and thus its equilibrium price</w:t>
      </w:r>
      <w:r w:rsidR="008A018B">
        <w:rPr>
          <w:rFonts w:eastAsia="Cambria" w:cs="Cambria"/>
          <w:color w:val="000000" w:themeColor="text1"/>
        </w:rPr>
        <w:t xml:space="preserve">, </w:t>
      </w:r>
      <w:r w:rsidRPr="009E1D5B">
        <w:rPr>
          <w:rFonts w:eastAsia="Cambria" w:cs="Cambria"/>
          <w:color w:val="000000" w:themeColor="text1"/>
        </w:rPr>
        <w:t>is higher. Because the overall growth of the U</w:t>
      </w:r>
      <w:r>
        <w:rPr>
          <w:rFonts w:eastAsia="Cambria" w:cs="Cambria"/>
          <w:color w:val="000000" w:themeColor="text1"/>
        </w:rPr>
        <w:t>.</w:t>
      </w:r>
      <w:r w:rsidRPr="00B60B51">
        <w:rPr>
          <w:rFonts w:eastAsia="Cambria" w:cs="Cambria"/>
          <w:color w:val="000000" w:themeColor="text1"/>
        </w:rPr>
        <w:t>S</w:t>
      </w:r>
      <w:r>
        <w:rPr>
          <w:rFonts w:eastAsia="Cambria" w:cs="Cambria"/>
          <w:color w:val="000000" w:themeColor="text1"/>
        </w:rPr>
        <w:t>.</w:t>
      </w:r>
      <w:r w:rsidRPr="009E1D5B">
        <w:rPr>
          <w:rFonts w:eastAsia="Cambria" w:cs="Cambria"/>
          <w:color w:val="000000" w:themeColor="text1"/>
        </w:rPr>
        <w:t xml:space="preserve"> economy can be sensitive to the price of oil and natural gas</w:t>
      </w:r>
      <w:r>
        <w:rPr>
          <w:rFonts w:eastAsia="Cambria" w:cs="Cambria"/>
          <w:color w:val="000000" w:themeColor="text1"/>
        </w:rPr>
        <w:t>,</w:t>
      </w:r>
      <w:r w:rsidRPr="00B60B51">
        <w:rPr>
          <w:rFonts w:eastAsia="Cambria" w:cs="Cambria"/>
          <w:color w:val="000000" w:themeColor="text1"/>
        </w:rPr>
        <w:t xml:space="preserve"> however, lower future prices of natural gas can increase overall economic growth enough to increase the price of coal too. These competing effects can be seen in the coal </w:t>
      </w:r>
      <w:r>
        <w:rPr>
          <w:rFonts w:eastAsia="Cambria" w:cs="Cambria"/>
          <w:color w:val="000000" w:themeColor="text1"/>
        </w:rPr>
        <w:t xml:space="preserve">price </w:t>
      </w:r>
      <w:r w:rsidRPr="00B60B51">
        <w:rPr>
          <w:rFonts w:eastAsia="Cambria" w:cs="Cambria"/>
          <w:color w:val="000000" w:themeColor="text1"/>
        </w:rPr>
        <w:t xml:space="preserve">diagrams that follow. The </w:t>
      </w:r>
      <w:r>
        <w:rPr>
          <w:rFonts w:eastAsia="Cambria" w:cs="Cambria"/>
          <w:color w:val="000000" w:themeColor="text1"/>
        </w:rPr>
        <w:t>AEO</w:t>
      </w:r>
      <w:r w:rsidRPr="009E1D5B">
        <w:rPr>
          <w:rFonts w:eastAsia="Cambria" w:cs="Cambria"/>
          <w:color w:val="000000" w:themeColor="text1"/>
        </w:rPr>
        <w:t xml:space="preserve"> does not consider cases that directly involve higher or lower views of the future price of coal. </w:t>
      </w:r>
    </w:p>
    <w:p w14:paraId="74185C40" w14:textId="0C64CC8B" w:rsidR="00996132" w:rsidRDefault="00996132" w:rsidP="00250FAD"/>
    <w:p w14:paraId="1D0DC869" w14:textId="7FB85551" w:rsidR="0080676B" w:rsidRDefault="00996132" w:rsidP="00A65265">
      <w:pPr>
        <w:pStyle w:val="Caption"/>
      </w:pPr>
      <w:r>
        <w:t xml:space="preserve">Figure </w:t>
      </w:r>
      <w:r w:rsidR="00C877B3">
        <w:fldChar w:fldCharType="begin"/>
      </w:r>
      <w:r w:rsidR="00C877B3">
        <w:instrText xml:space="preserve"> SEQ Figure \* ARABIC </w:instrText>
      </w:r>
      <w:r w:rsidR="00C877B3">
        <w:fldChar w:fldCharType="separate"/>
      </w:r>
      <w:r w:rsidR="00C877B3">
        <w:rPr>
          <w:noProof/>
        </w:rPr>
        <w:t>7</w:t>
      </w:r>
      <w:r w:rsidR="00C877B3">
        <w:rPr>
          <w:noProof/>
        </w:rPr>
        <w:fldChar w:fldCharType="end"/>
      </w:r>
      <w:r>
        <w:t xml:space="preserve">: </w:t>
      </w:r>
      <w:r w:rsidR="00D629B3">
        <w:t>Views of future price of coal at mine, by scenario, Central Appalachia</w:t>
      </w:r>
    </w:p>
    <w:p w14:paraId="0762E5B4" w14:textId="01B74543" w:rsidR="003D2B3D" w:rsidRPr="003D2B3D" w:rsidRDefault="003D2B3D" w:rsidP="00250FAD">
      <w:pPr>
        <w:keepNext/>
        <w:jc w:val="center"/>
      </w:pPr>
      <w:r>
        <w:rPr>
          <w:noProof/>
        </w:rPr>
        <w:drawing>
          <wp:inline distT="0" distB="0" distL="0" distR="0" wp14:anchorId="3CA1DE80" wp14:editId="28E1995C">
            <wp:extent cx="5230164" cy="2730500"/>
            <wp:effectExtent l="0" t="0" r="8890" b="0"/>
            <wp:docPr id="1225150042" name="Picture 11">
              <a:extLst xmlns:a="http://schemas.openxmlformats.org/drawingml/2006/main">
                <a:ext uri="{FF2B5EF4-FFF2-40B4-BE49-F238E27FC236}">
                  <a16:creationId xmlns:a16="http://schemas.microsoft.com/office/drawing/2014/main" id="{12C65C0A-A795-6BA4-9A8D-F818EAB5A45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a:extLst>
                        <a:ext uri="{FF2B5EF4-FFF2-40B4-BE49-F238E27FC236}">
                          <a16:creationId xmlns:a16="http://schemas.microsoft.com/office/drawing/2014/main" id="{12C65C0A-A795-6BA4-9A8D-F818EAB5A45F}"/>
                        </a:ext>
                      </a:extLst>
                    </pic:cNvPr>
                    <pic:cNvPicPr>
                      <a:picLocks noChangeAspect="1"/>
                    </pic:cNvPicPr>
                  </pic:nvPicPr>
                  <pic:blipFill rotWithShape="1">
                    <a:blip r:embed="rId23"/>
                    <a:srcRect t="16586"/>
                    <a:stretch/>
                  </pic:blipFill>
                  <pic:spPr bwMode="auto">
                    <a:xfrm>
                      <a:off x="0" y="0"/>
                      <a:ext cx="5230821" cy="2730843"/>
                    </a:xfrm>
                    <a:prstGeom prst="rect">
                      <a:avLst/>
                    </a:prstGeom>
                    <a:ln>
                      <a:noFill/>
                    </a:ln>
                    <a:extLst>
                      <a:ext uri="{53640926-AAD7-44D8-BBD7-CCE9431645EC}">
                        <a14:shadowObscured xmlns:a14="http://schemas.microsoft.com/office/drawing/2010/main"/>
                      </a:ext>
                    </a:extLst>
                  </pic:spPr>
                </pic:pic>
              </a:graphicData>
            </a:graphic>
          </wp:inline>
        </w:drawing>
      </w:r>
    </w:p>
    <w:p w14:paraId="48CFF0B7" w14:textId="6F9FD50E" w:rsidR="000040AB" w:rsidRDefault="000040AB" w:rsidP="00250FAD"/>
    <w:p w14:paraId="57715827" w14:textId="457EDFBE" w:rsidR="009B1A9A" w:rsidRDefault="000040AB" w:rsidP="00A65265">
      <w:pPr>
        <w:pStyle w:val="Caption"/>
      </w:pPr>
      <w:r>
        <w:lastRenderedPageBreak/>
        <w:t xml:space="preserve">Figure </w:t>
      </w:r>
      <w:r w:rsidR="00C877B3">
        <w:fldChar w:fldCharType="begin"/>
      </w:r>
      <w:r w:rsidR="00C877B3">
        <w:instrText xml:space="preserve"> SEQ Figure \* ARABIC </w:instrText>
      </w:r>
      <w:r w:rsidR="00C877B3">
        <w:fldChar w:fldCharType="separate"/>
      </w:r>
      <w:r w:rsidR="00C877B3">
        <w:rPr>
          <w:noProof/>
        </w:rPr>
        <w:t>8</w:t>
      </w:r>
      <w:r w:rsidR="00C877B3">
        <w:rPr>
          <w:noProof/>
        </w:rPr>
        <w:fldChar w:fldCharType="end"/>
      </w:r>
      <w:r>
        <w:t>: Views of future price of coal at mine, by scenario, Illinois Basin</w:t>
      </w:r>
    </w:p>
    <w:p w14:paraId="7B484016" w14:textId="2BD30984" w:rsidR="00657A2D" w:rsidRPr="00657A2D" w:rsidRDefault="00657A2D" w:rsidP="00250FAD">
      <w:pPr>
        <w:keepNext/>
        <w:jc w:val="center"/>
      </w:pPr>
      <w:r>
        <w:rPr>
          <w:noProof/>
        </w:rPr>
        <w:drawing>
          <wp:inline distT="0" distB="0" distL="0" distR="0" wp14:anchorId="5A20EA63" wp14:editId="3BCCC536">
            <wp:extent cx="5156802" cy="2582545"/>
            <wp:effectExtent l="0" t="0" r="6350" b="8255"/>
            <wp:docPr id="1965334245" name="Picture 13">
              <a:extLst xmlns:a="http://schemas.openxmlformats.org/drawingml/2006/main">
                <a:ext uri="{FF2B5EF4-FFF2-40B4-BE49-F238E27FC236}">
                  <a16:creationId xmlns:a16="http://schemas.microsoft.com/office/drawing/2014/main" id="{443C4E99-D8EA-F22F-CD66-E6FFC916FE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a:extLst>
                        <a:ext uri="{FF2B5EF4-FFF2-40B4-BE49-F238E27FC236}">
                          <a16:creationId xmlns:a16="http://schemas.microsoft.com/office/drawing/2014/main" id="{443C4E99-D8EA-F22F-CD66-E6FFC916FE4B}"/>
                        </a:ext>
                      </a:extLst>
                    </pic:cNvPr>
                    <pic:cNvPicPr>
                      <a:picLocks noChangeAspect="1"/>
                    </pic:cNvPicPr>
                  </pic:nvPicPr>
                  <pic:blipFill rotWithShape="1">
                    <a:blip r:embed="rId24"/>
                    <a:srcRect t="18366"/>
                    <a:stretch/>
                  </pic:blipFill>
                  <pic:spPr bwMode="auto">
                    <a:xfrm>
                      <a:off x="0" y="0"/>
                      <a:ext cx="5157663" cy="2582976"/>
                    </a:xfrm>
                    <a:prstGeom prst="rect">
                      <a:avLst/>
                    </a:prstGeom>
                    <a:ln>
                      <a:noFill/>
                    </a:ln>
                    <a:extLst>
                      <a:ext uri="{53640926-AAD7-44D8-BBD7-CCE9431645EC}">
                        <a14:shadowObscured xmlns:a14="http://schemas.microsoft.com/office/drawing/2010/main"/>
                      </a:ext>
                    </a:extLst>
                  </pic:spPr>
                </pic:pic>
              </a:graphicData>
            </a:graphic>
          </wp:inline>
        </w:drawing>
      </w:r>
    </w:p>
    <w:p w14:paraId="240BA15A" w14:textId="77777777" w:rsidR="000040AB" w:rsidRPr="000040AB" w:rsidRDefault="000040AB" w:rsidP="00D86E63"/>
    <w:p w14:paraId="6C1E4564" w14:textId="326B1E01" w:rsidR="000040AB" w:rsidRDefault="000040AB" w:rsidP="00D76899"/>
    <w:p w14:paraId="0125125B" w14:textId="7E7BBE6B" w:rsidR="00C06E71" w:rsidRDefault="000040AB" w:rsidP="00A65265">
      <w:pPr>
        <w:pStyle w:val="Caption"/>
      </w:pPr>
      <w:r>
        <w:t xml:space="preserve">Figure </w:t>
      </w:r>
      <w:r w:rsidR="00C877B3">
        <w:fldChar w:fldCharType="begin"/>
      </w:r>
      <w:r w:rsidR="00C877B3">
        <w:instrText xml:space="preserve"> SEQ Figure \* ARABIC </w:instrText>
      </w:r>
      <w:r w:rsidR="00C877B3">
        <w:fldChar w:fldCharType="separate"/>
      </w:r>
      <w:r w:rsidR="00C877B3">
        <w:rPr>
          <w:noProof/>
        </w:rPr>
        <w:t>9</w:t>
      </w:r>
      <w:r w:rsidR="00C877B3">
        <w:rPr>
          <w:noProof/>
        </w:rPr>
        <w:fldChar w:fldCharType="end"/>
      </w:r>
      <w:r>
        <w:t>:</w:t>
      </w:r>
      <w:r w:rsidR="00CD3EC0">
        <w:t xml:space="preserve"> </w:t>
      </w:r>
      <w:r>
        <w:t>Views of future price of coal at mine, by scenario, Powder River Basin</w:t>
      </w:r>
    </w:p>
    <w:p w14:paraId="1A2F169B" w14:textId="5F04E605" w:rsidR="00657A2D" w:rsidRPr="00657A2D" w:rsidRDefault="00657A2D" w:rsidP="00D76899">
      <w:pPr>
        <w:keepNext/>
        <w:jc w:val="center"/>
      </w:pPr>
      <w:r>
        <w:rPr>
          <w:noProof/>
        </w:rPr>
        <w:drawing>
          <wp:inline distT="0" distB="0" distL="0" distR="0" wp14:anchorId="59F93F55" wp14:editId="49FF80D6">
            <wp:extent cx="5126736" cy="2594610"/>
            <wp:effectExtent l="0" t="0" r="0" b="0"/>
            <wp:docPr id="586973950" name="Picture 12">
              <a:extLst xmlns:a="http://schemas.openxmlformats.org/drawingml/2006/main">
                <a:ext uri="{FF2B5EF4-FFF2-40B4-BE49-F238E27FC236}">
                  <a16:creationId xmlns:a16="http://schemas.microsoft.com/office/drawing/2014/main" id="{0F130F96-5266-3D5E-93DD-FB3CC7A820C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a:extLst>
                        <a:ext uri="{FF2B5EF4-FFF2-40B4-BE49-F238E27FC236}">
                          <a16:creationId xmlns:a16="http://schemas.microsoft.com/office/drawing/2014/main" id="{0F130F96-5266-3D5E-93DD-FB3CC7A820C5}"/>
                        </a:ext>
                      </a:extLst>
                    </pic:cNvPr>
                    <pic:cNvPicPr>
                      <a:picLocks noChangeAspect="1"/>
                    </pic:cNvPicPr>
                  </pic:nvPicPr>
                  <pic:blipFill rotWithShape="1">
                    <a:blip r:embed="rId25"/>
                    <a:srcRect t="16544"/>
                    <a:stretch/>
                  </pic:blipFill>
                  <pic:spPr bwMode="auto">
                    <a:xfrm>
                      <a:off x="0" y="0"/>
                      <a:ext cx="5127180" cy="2594834"/>
                    </a:xfrm>
                    <a:prstGeom prst="rect">
                      <a:avLst/>
                    </a:prstGeom>
                    <a:ln>
                      <a:noFill/>
                    </a:ln>
                    <a:extLst>
                      <a:ext uri="{53640926-AAD7-44D8-BBD7-CCE9431645EC}">
                        <a14:shadowObscured xmlns:a14="http://schemas.microsoft.com/office/drawing/2010/main"/>
                      </a:ext>
                    </a:extLst>
                  </pic:spPr>
                </pic:pic>
              </a:graphicData>
            </a:graphic>
          </wp:inline>
        </w:drawing>
      </w:r>
    </w:p>
    <w:p w14:paraId="7BF4DA69" w14:textId="484EEEAD" w:rsidR="00C877B3" w:rsidRDefault="00C877B3" w:rsidP="00D76899"/>
    <w:p w14:paraId="0BADBDEC" w14:textId="320D44F8" w:rsidR="00CB48A5" w:rsidRDefault="00C877B3" w:rsidP="00A65265">
      <w:pPr>
        <w:pStyle w:val="Caption"/>
      </w:pPr>
      <w:r>
        <w:lastRenderedPageBreak/>
        <w:t xml:space="preserve">Figure </w:t>
      </w:r>
      <w:r>
        <w:fldChar w:fldCharType="begin"/>
      </w:r>
      <w:r>
        <w:instrText xml:space="preserve"> SEQ Figure \* ARABIC </w:instrText>
      </w:r>
      <w:r>
        <w:fldChar w:fldCharType="separate"/>
      </w:r>
      <w:r>
        <w:rPr>
          <w:noProof/>
        </w:rPr>
        <w:t>10</w:t>
      </w:r>
      <w:r>
        <w:rPr>
          <w:noProof/>
        </w:rPr>
        <w:fldChar w:fldCharType="end"/>
      </w:r>
      <w:r>
        <w:t>: Views of future price of oil, West Texas Intermediate</w:t>
      </w:r>
    </w:p>
    <w:p w14:paraId="6435FCBF" w14:textId="5AF48CFF" w:rsidR="00657A2D" w:rsidRPr="00657A2D" w:rsidRDefault="00657A2D" w:rsidP="00D76899">
      <w:pPr>
        <w:jc w:val="center"/>
      </w:pPr>
      <w:r>
        <w:rPr>
          <w:noProof/>
        </w:rPr>
        <w:drawing>
          <wp:inline distT="0" distB="0" distL="0" distR="0" wp14:anchorId="72D1FFF4" wp14:editId="7D55345D">
            <wp:extent cx="5193665" cy="2807893"/>
            <wp:effectExtent l="0" t="0" r="6985" b="0"/>
            <wp:docPr id="590017509" name="Picture 4">
              <a:extLst xmlns:a="http://schemas.openxmlformats.org/drawingml/2006/main">
                <a:ext uri="{FF2B5EF4-FFF2-40B4-BE49-F238E27FC236}">
                  <a16:creationId xmlns:a16="http://schemas.microsoft.com/office/drawing/2014/main" id="{9D6879D7-D4CE-D578-78A3-8A8A7E989ED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9D6879D7-D4CE-D578-78A3-8A8A7E989EDB}"/>
                        </a:ext>
                      </a:extLst>
                    </pic:cNvPr>
                    <pic:cNvPicPr>
                      <a:picLocks noChangeAspect="1"/>
                    </pic:cNvPicPr>
                  </pic:nvPicPr>
                  <pic:blipFill rotWithShape="1">
                    <a:blip r:embed="rId26"/>
                    <a:srcRect t="11418"/>
                    <a:stretch/>
                  </pic:blipFill>
                  <pic:spPr bwMode="auto">
                    <a:xfrm>
                      <a:off x="0" y="0"/>
                      <a:ext cx="5194242" cy="2808205"/>
                    </a:xfrm>
                    <a:prstGeom prst="rect">
                      <a:avLst/>
                    </a:prstGeom>
                    <a:ln>
                      <a:noFill/>
                    </a:ln>
                    <a:extLst>
                      <a:ext uri="{53640926-AAD7-44D8-BBD7-CCE9431645EC}">
                        <a14:shadowObscured xmlns:a14="http://schemas.microsoft.com/office/drawing/2010/main"/>
                      </a:ext>
                    </a:extLst>
                  </pic:spPr>
                </pic:pic>
              </a:graphicData>
            </a:graphic>
          </wp:inline>
        </w:drawing>
      </w:r>
    </w:p>
    <w:p w14:paraId="0A7BCEB0" w14:textId="77777777" w:rsidR="00C877B3" w:rsidRPr="00C877B3" w:rsidRDefault="00C877B3" w:rsidP="00D86E63"/>
    <w:p w14:paraId="63DE744E" w14:textId="60CA3D28" w:rsidR="00B54758" w:rsidRDefault="00B54758" w:rsidP="00D86E63">
      <w:pPr>
        <w:pStyle w:val="Heading2"/>
      </w:pPr>
      <w:bookmarkStart w:id="16" w:name="_Toc188405630"/>
      <w:r>
        <w:t>3.6 Technology Screening</w:t>
      </w:r>
      <w:bookmarkEnd w:id="16"/>
      <w:r>
        <w:t xml:space="preserve"> </w:t>
      </w:r>
    </w:p>
    <w:p w14:paraId="666FF222" w14:textId="4D7B7794" w:rsidR="00B54758" w:rsidRPr="002F5ED6" w:rsidRDefault="00B54758" w:rsidP="00D86E63">
      <w:r w:rsidRPr="002F5ED6">
        <w:t>The Company performs detailed expansion planning and production cost analysis during each IRP. This detailed analysis requires extensive and complex computational analysis. Therefore, the Company completes a technology screening assessment of new generation technologies to reduce the potential list of new supply-side options to a manageable list of technologies that are likely to be economically competitive. This technology screening assessment evaluates both established and emerging generating technologies. The objective is to assess the cost, maturity, safety, operational reliability, flexibility, economic viability, environmental acceptability, fuel availability, construction lead times, and other relevant factors of new supply-side generation options.</w:t>
      </w:r>
    </w:p>
    <w:p w14:paraId="37983B4C" w14:textId="09475DB2" w:rsidR="00B54758" w:rsidRDefault="00B54758" w:rsidP="00A878D2">
      <w:r w:rsidRPr="002F5ED6">
        <w:t xml:space="preserve">The technology screening process includes three main steps: (i) the Technology Identification, (ii) Preliminary Screening, and (iii) Detailed Qualitative Screening Analysis, as illustrated in Figure </w:t>
      </w:r>
      <w:r w:rsidR="00BB3E9A">
        <w:t>11</w:t>
      </w:r>
      <w:r w:rsidRPr="002F5ED6">
        <w:t xml:space="preserve">. Supply-side options retained after these steps are then considered in the more detailed expansion plan modeling. </w:t>
      </w:r>
    </w:p>
    <w:p w14:paraId="1449AEF8" w14:textId="4B2C8E83" w:rsidR="00B54758" w:rsidRPr="002F5ED6" w:rsidRDefault="00B54758" w:rsidP="00A65265">
      <w:pPr>
        <w:pStyle w:val="Caption"/>
        <w:rPr>
          <w:rFonts w:cstheme="minorHAnsi"/>
        </w:rPr>
      </w:pPr>
      <w:r>
        <w:lastRenderedPageBreak/>
        <w:t xml:space="preserve">Figure </w:t>
      </w:r>
      <w:r w:rsidR="00C877B3">
        <w:fldChar w:fldCharType="begin"/>
      </w:r>
      <w:r w:rsidR="00C877B3">
        <w:instrText xml:space="preserve"> SEQ Figure \* ARABIC </w:instrText>
      </w:r>
      <w:r w:rsidR="00C877B3">
        <w:fldChar w:fldCharType="separate"/>
      </w:r>
      <w:r w:rsidR="00C877B3">
        <w:rPr>
          <w:noProof/>
        </w:rPr>
        <w:t>11</w:t>
      </w:r>
      <w:r w:rsidR="00C877B3">
        <w:rPr>
          <w:noProof/>
        </w:rPr>
        <w:fldChar w:fldCharType="end"/>
      </w:r>
      <w:r>
        <w:t>: Technology Screening Process</w:t>
      </w:r>
    </w:p>
    <w:p w14:paraId="69CA1C7C" w14:textId="06ECAAF5" w:rsidR="00B54758" w:rsidRPr="002F5ED6" w:rsidRDefault="00F86CE4" w:rsidP="00A878D2">
      <w:pPr>
        <w:jc w:val="center"/>
      </w:pPr>
      <w:r w:rsidRPr="002F5ED6">
        <w:rPr>
          <w:noProof/>
        </w:rPr>
        <w:drawing>
          <wp:inline distT="0" distB="0" distL="0" distR="0" wp14:anchorId="4067286F" wp14:editId="656ADD2B">
            <wp:extent cx="5760720" cy="1774490"/>
            <wp:effectExtent l="0" t="0" r="0" b="0"/>
            <wp:docPr id="202900991" name="Picture 202900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60720" cy="1774490"/>
                    </a:xfrm>
                    <a:prstGeom prst="rect">
                      <a:avLst/>
                    </a:prstGeom>
                    <a:noFill/>
                  </pic:spPr>
                </pic:pic>
              </a:graphicData>
            </a:graphic>
          </wp:inline>
        </w:drawing>
      </w:r>
    </w:p>
    <w:p w14:paraId="09B3AA53" w14:textId="3B64FB26" w:rsidR="00B54758" w:rsidRDefault="00B54758" w:rsidP="00D86E63">
      <w:r w:rsidRPr="002F5ED6">
        <w:t xml:space="preserve">The screening process is useful for comparing costs of resource types but cannot be solely utilized for determining a long-term resource plan because future units must be optimized with an existing system containing various resource types. Results from the screening analysis provide guidance for the technologies to be further considered in the more detailed quantitative analysis phase of the planning process. </w:t>
      </w:r>
      <w:r w:rsidR="000E56C8">
        <w:t xml:space="preserve">Additional information is found in the </w:t>
      </w:r>
      <w:r w:rsidR="00830F25">
        <w:t>Technology Screening and Applications Standards in Technical Appendix Volume 2.</w:t>
      </w:r>
    </w:p>
    <w:p w14:paraId="5398895B" w14:textId="022ED866" w:rsidR="00B54758" w:rsidRDefault="00B54758" w:rsidP="00D86E63">
      <w:pPr>
        <w:pStyle w:val="Heading3"/>
      </w:pPr>
      <w:bookmarkStart w:id="17" w:name="_Toc188405631"/>
      <w:r>
        <w:t xml:space="preserve">3.6.1 </w:t>
      </w:r>
      <w:r w:rsidR="00E61380">
        <w:t xml:space="preserve">Expansion Plan </w:t>
      </w:r>
      <w:r>
        <w:t xml:space="preserve">Candidate </w:t>
      </w:r>
      <w:r w:rsidR="00E61380">
        <w:t>Resources</w:t>
      </w:r>
      <w:bookmarkEnd w:id="17"/>
    </w:p>
    <w:p w14:paraId="1A2474CF" w14:textId="3B61E945" w:rsidR="00B54758" w:rsidRPr="00B54758" w:rsidRDefault="00B54758" w:rsidP="00D86E63">
      <w:r w:rsidRPr="00B54758">
        <w:t>Electricity generating technology is always evolving. Therefore, as discussed previously, the Company’s screening process identifies those technologies that have the greatest possibility of playing a cost-effective role in the System during the modeling horizon. Even among the technologies that might play such a cost-effective role, there remains uncertainty about the cost of each technology relative to its expected productivity and other technology options.</w:t>
      </w:r>
    </w:p>
    <w:p w14:paraId="03A1D855" w14:textId="46841452" w:rsidR="00B54758" w:rsidRDefault="00B54758" w:rsidP="00D86E63">
      <w:r w:rsidRPr="00B54758">
        <w:t xml:space="preserve">For B2025 analyses, the technologies that passed initial screening, indicating their potential cost-effectiveness, </w:t>
      </w:r>
      <w:r w:rsidR="00AB0CCD">
        <w:t>include</w:t>
      </w:r>
      <w:r w:rsidR="00AB0CCD" w:rsidRPr="00B54758">
        <w:t xml:space="preserve"> </w:t>
      </w:r>
      <w:r w:rsidR="00297EDC">
        <w:t>NGCC</w:t>
      </w:r>
      <w:r w:rsidRPr="00B54758">
        <w:t xml:space="preserve">, dual-fuel </w:t>
      </w:r>
      <w:r w:rsidR="003C6B24">
        <w:t xml:space="preserve">CT </w:t>
      </w:r>
      <w:r w:rsidRPr="00B54758">
        <w:t xml:space="preserve">with SCR (oil-fueled in winter), solar </w:t>
      </w:r>
      <w:r w:rsidR="004A597D">
        <w:t>PV</w:t>
      </w:r>
      <w:r w:rsidRPr="00B54758">
        <w:t xml:space="preserve">, wind, nuclear (AP-1000), lithium-ion battery storage, and </w:t>
      </w:r>
      <w:r w:rsidR="00DF3AA1">
        <w:t xml:space="preserve">compressed </w:t>
      </w:r>
      <w:r w:rsidR="001B0E4E">
        <w:t xml:space="preserve">air </w:t>
      </w:r>
      <w:r w:rsidR="00794870">
        <w:t>or</w:t>
      </w:r>
      <w:r w:rsidR="001B0E4E">
        <w:t xml:space="preserve"> </w:t>
      </w:r>
      <w:r w:rsidRPr="00B54758">
        <w:t>pumped thermal energy storage.</w:t>
      </w:r>
      <w:r w:rsidR="00A964FF">
        <w:t xml:space="preserve"> </w:t>
      </w:r>
      <w:r w:rsidR="00D87194">
        <w:rPr>
          <w:rFonts w:eastAsia="Cambria" w:cs="Cambria"/>
          <w:color w:val="000000" w:themeColor="text1"/>
        </w:rPr>
        <w:t xml:space="preserve">In addition, NGCC with CCS also passed initial screening based on an assumed trajectory of technology and infrastructure development towards future commercial availability. While this trajectory and the ultimate costs remain highly uncertain, the inclusion of NGCC with CCS allows the Company to evaluate scenarios for this potential future resource option. </w:t>
      </w:r>
      <w:r w:rsidR="00A964FF">
        <w:t xml:space="preserve">Table 4 summarizes </w:t>
      </w:r>
      <w:r w:rsidR="004E12F4">
        <w:t>select</w:t>
      </w:r>
      <w:r w:rsidR="00A964FF">
        <w:t xml:space="preserve"> </w:t>
      </w:r>
      <w:r w:rsidR="0063280F">
        <w:t xml:space="preserve">modeling </w:t>
      </w:r>
      <w:r w:rsidR="00A964FF">
        <w:t>assumption</w:t>
      </w:r>
      <w:r w:rsidR="0063280F">
        <w:t xml:space="preserve">s associated with </w:t>
      </w:r>
      <w:r w:rsidR="0056728E">
        <w:t>the candidate expansion technologies.</w:t>
      </w:r>
      <w:r w:rsidR="008C5291">
        <w:t xml:space="preserve"> Note that for certain technologies, such as NGCC with CCS, there may be additional infrastructure or technology limitations that are not yet well understood at this time and are not captured in the model.</w:t>
      </w:r>
      <w:r w:rsidR="008C5291" w:rsidRPr="00E02474">
        <w:t xml:space="preserve"> </w:t>
      </w:r>
    </w:p>
    <w:p w14:paraId="09403F42" w14:textId="365EC517" w:rsidR="00641C87" w:rsidRDefault="00641C87" w:rsidP="00A65265">
      <w:pPr>
        <w:pStyle w:val="Caption"/>
      </w:pPr>
      <w:r>
        <w:lastRenderedPageBreak/>
        <w:t xml:space="preserve">Table </w:t>
      </w:r>
      <w:r w:rsidR="0076583C">
        <w:t>4:</w:t>
      </w:r>
      <w:r>
        <w:t xml:space="preserve"> Candidate Technolog</w:t>
      </w:r>
      <w:r w:rsidR="00B31DF4">
        <w:t>y Assumptions</w:t>
      </w:r>
    </w:p>
    <w:tbl>
      <w:tblPr>
        <w:tblStyle w:val="GridTable4-Accent1"/>
        <w:tblpPr w:leftFromText="180" w:rightFromText="180" w:vertAnchor="text" w:horzAnchor="margin" w:tblpXSpec="center" w:tblpY="85"/>
        <w:tblW w:w="9535" w:type="dxa"/>
        <w:tblLayout w:type="fixed"/>
        <w:tblLook w:val="06A0" w:firstRow="1" w:lastRow="0" w:firstColumn="1" w:lastColumn="0" w:noHBand="1" w:noVBand="1"/>
      </w:tblPr>
      <w:tblGrid>
        <w:gridCol w:w="1795"/>
        <w:gridCol w:w="1170"/>
        <w:gridCol w:w="2160"/>
        <w:gridCol w:w="2070"/>
        <w:gridCol w:w="2340"/>
      </w:tblGrid>
      <w:tr w:rsidR="00995ACE" w14:paraId="48922745" w14:textId="77777777" w:rsidTr="00DA300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95" w:type="dxa"/>
            <w:vAlign w:val="bottom"/>
          </w:tcPr>
          <w:p w14:paraId="0F65558E" w14:textId="77777777" w:rsidR="00864617" w:rsidRDefault="00864617" w:rsidP="00852ABD">
            <w:pPr>
              <w:keepNext/>
              <w:spacing w:line="276" w:lineRule="auto"/>
              <w:jc w:val="center"/>
            </w:pPr>
            <w:r>
              <w:t>Technology</w:t>
            </w:r>
          </w:p>
        </w:tc>
        <w:tc>
          <w:tcPr>
            <w:tcW w:w="1170" w:type="dxa"/>
            <w:vAlign w:val="bottom"/>
          </w:tcPr>
          <w:p w14:paraId="3D8FE4AE" w14:textId="439966C7" w:rsidR="00864617" w:rsidRDefault="00864617" w:rsidP="00852ABD">
            <w:pPr>
              <w:keepNext/>
              <w:spacing w:line="276" w:lineRule="auto"/>
              <w:jc w:val="center"/>
              <w:cnfStyle w:val="100000000000" w:firstRow="1" w:lastRow="0" w:firstColumn="0" w:lastColumn="0" w:oddVBand="0" w:evenVBand="0" w:oddHBand="0" w:evenHBand="0" w:firstRowFirstColumn="0" w:firstRowLastColumn="0" w:lastRowFirstColumn="0" w:lastRowLastColumn="0"/>
            </w:pPr>
            <w:r>
              <w:t xml:space="preserve">First </w:t>
            </w:r>
            <w:r w:rsidR="00CC6799">
              <w:t>Y</w:t>
            </w:r>
            <w:r w:rsidR="00AF7DAE">
              <w:t>ea</w:t>
            </w:r>
            <w:r w:rsidR="00CC6799">
              <w:t xml:space="preserve">r </w:t>
            </w:r>
            <w:r>
              <w:t>Available</w:t>
            </w:r>
          </w:p>
        </w:tc>
        <w:tc>
          <w:tcPr>
            <w:tcW w:w="2160" w:type="dxa"/>
            <w:vAlign w:val="bottom"/>
          </w:tcPr>
          <w:p w14:paraId="5444B49C" w14:textId="78D41743" w:rsidR="00864617" w:rsidRDefault="00864617" w:rsidP="00852ABD">
            <w:pPr>
              <w:keepNext/>
              <w:spacing w:line="276" w:lineRule="auto"/>
              <w:jc w:val="center"/>
              <w:cnfStyle w:val="100000000000" w:firstRow="1" w:lastRow="0" w:firstColumn="0" w:lastColumn="0" w:oddVBand="0" w:evenVBand="0" w:oddHBand="0" w:evenHBand="0" w:firstRowFirstColumn="0" w:firstRowLastColumn="0" w:lastRowFirstColumn="0" w:lastRowLastColumn="0"/>
            </w:pPr>
            <w:r>
              <w:t xml:space="preserve">Last </w:t>
            </w:r>
            <w:r w:rsidR="00CC6799">
              <w:t>Y</w:t>
            </w:r>
            <w:r w:rsidR="00AF7DAE">
              <w:t>ea</w:t>
            </w:r>
            <w:r w:rsidR="00CC6799">
              <w:t xml:space="preserve">r </w:t>
            </w:r>
            <w:r w:rsidR="00CC6799">
              <w:br/>
            </w:r>
            <w:r>
              <w:t>Available</w:t>
            </w:r>
          </w:p>
        </w:tc>
        <w:tc>
          <w:tcPr>
            <w:tcW w:w="2070" w:type="dxa"/>
            <w:vAlign w:val="bottom"/>
          </w:tcPr>
          <w:p w14:paraId="69FA6AA3" w14:textId="737A0B90" w:rsidR="0031464C" w:rsidRDefault="0031464C" w:rsidP="00852ABD">
            <w:pPr>
              <w:keepNext/>
              <w:spacing w:line="276" w:lineRule="auto"/>
              <w:jc w:val="center"/>
              <w:cnfStyle w:val="100000000000" w:firstRow="1" w:lastRow="0" w:firstColumn="0" w:lastColumn="0" w:oddVBand="0" w:evenVBand="0" w:oddHBand="0" w:evenHBand="0" w:firstRowFirstColumn="0" w:firstRowLastColumn="0" w:lastRowFirstColumn="0" w:lastRowLastColumn="0"/>
              <w:rPr>
                <w:b w:val="0"/>
                <w:bCs w:val="0"/>
              </w:rPr>
            </w:pPr>
            <w:r>
              <w:t xml:space="preserve">Modeling </w:t>
            </w:r>
          </w:p>
          <w:p w14:paraId="6AD1B6DC" w14:textId="4122AAAC" w:rsidR="00864617" w:rsidRDefault="00864617" w:rsidP="00852ABD">
            <w:pPr>
              <w:keepNext/>
              <w:spacing w:line="276" w:lineRule="auto"/>
              <w:jc w:val="center"/>
              <w:cnfStyle w:val="100000000000" w:firstRow="1" w:lastRow="0" w:firstColumn="0" w:lastColumn="0" w:oddVBand="0" w:evenVBand="0" w:oddHBand="0" w:evenHBand="0" w:firstRowFirstColumn="0" w:firstRowLastColumn="0" w:lastRowFirstColumn="0" w:lastRowLastColumn="0"/>
            </w:pPr>
            <w:r>
              <w:t>Limitations</w:t>
            </w:r>
          </w:p>
        </w:tc>
        <w:tc>
          <w:tcPr>
            <w:tcW w:w="2340" w:type="dxa"/>
            <w:vAlign w:val="bottom"/>
          </w:tcPr>
          <w:p w14:paraId="0A610F3C" w14:textId="2F4BF3E3" w:rsidR="00864617" w:rsidRDefault="00864617" w:rsidP="00852ABD">
            <w:pPr>
              <w:keepNext/>
              <w:spacing w:line="276" w:lineRule="auto"/>
              <w:jc w:val="center"/>
              <w:cnfStyle w:val="100000000000" w:firstRow="1" w:lastRow="0" w:firstColumn="0" w:lastColumn="0" w:oddVBand="0" w:evenVBand="0" w:oddHBand="0" w:evenHBand="0" w:firstRowFirstColumn="0" w:firstRowLastColumn="0" w:lastRowFirstColumn="0" w:lastRowLastColumn="0"/>
            </w:pPr>
            <w:r>
              <w:t xml:space="preserve">IRA </w:t>
            </w:r>
            <w:r w:rsidR="00B9523A">
              <w:br/>
              <w:t>Applicability</w:t>
            </w:r>
          </w:p>
        </w:tc>
      </w:tr>
      <w:tr w:rsidR="008C349A" w14:paraId="19DD1468" w14:textId="77777777" w:rsidTr="00DA3008">
        <w:tc>
          <w:tcPr>
            <w:cnfStyle w:val="001000000000" w:firstRow="0" w:lastRow="0" w:firstColumn="1" w:lastColumn="0" w:oddVBand="0" w:evenVBand="0" w:oddHBand="0" w:evenHBand="0" w:firstRowFirstColumn="0" w:firstRowLastColumn="0" w:lastRowFirstColumn="0" w:lastRowLastColumn="0"/>
            <w:tcW w:w="1795" w:type="dxa"/>
            <w:vAlign w:val="center"/>
          </w:tcPr>
          <w:p w14:paraId="29F95DEE" w14:textId="5CAB728D" w:rsidR="00864617" w:rsidRPr="00DE3B68" w:rsidRDefault="00297EDC" w:rsidP="000752D6">
            <w:pPr>
              <w:spacing w:line="276" w:lineRule="auto"/>
              <w:jc w:val="left"/>
              <w:rPr>
                <w:sz w:val="20"/>
                <w:szCs w:val="20"/>
              </w:rPr>
            </w:pPr>
            <w:r>
              <w:rPr>
                <w:sz w:val="20"/>
                <w:szCs w:val="20"/>
              </w:rPr>
              <w:t>NG</w:t>
            </w:r>
            <w:r w:rsidR="00864617" w:rsidRPr="00DE3B68">
              <w:rPr>
                <w:sz w:val="20"/>
                <w:szCs w:val="20"/>
              </w:rPr>
              <w:t>CC</w:t>
            </w:r>
          </w:p>
        </w:tc>
        <w:tc>
          <w:tcPr>
            <w:tcW w:w="1170" w:type="dxa"/>
            <w:vAlign w:val="center"/>
          </w:tcPr>
          <w:p w14:paraId="5E954176" w14:textId="77777777"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2029</w:t>
            </w:r>
          </w:p>
        </w:tc>
        <w:tc>
          <w:tcPr>
            <w:tcW w:w="2160" w:type="dxa"/>
            <w:vAlign w:val="center"/>
          </w:tcPr>
          <w:p w14:paraId="442EA130" w14:textId="6733D606" w:rsidR="00A82DB9" w:rsidRDefault="00A82DB9" w:rsidP="00A82DB9">
            <w:pPr>
              <w:pStyle w:val="ListParagraph"/>
              <w:numPr>
                <w:ilvl w:val="0"/>
                <w:numId w:val="7"/>
              </w:numPr>
              <w:spacing w:line="276" w:lineRule="auto"/>
              <w:ind w:left="157" w:hanging="157"/>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111:</w:t>
            </w:r>
            <w:r>
              <w:rPr>
                <w:sz w:val="20"/>
                <w:szCs w:val="20"/>
              </w:rPr>
              <w:t xml:space="preserve"> </w:t>
            </w:r>
            <w:r w:rsidRPr="00DE3B68">
              <w:rPr>
                <w:sz w:val="20"/>
                <w:szCs w:val="20"/>
              </w:rPr>
              <w:t>available through planning horizon; limited to 40% capacity factor beginning 2032</w:t>
            </w:r>
          </w:p>
          <w:p w14:paraId="1EFD2915" w14:textId="7DE2C228" w:rsidR="00864617" w:rsidRPr="00DE3B68" w:rsidRDefault="00864617" w:rsidP="00A82DB9">
            <w:pPr>
              <w:pStyle w:val="ListParagraph"/>
              <w:numPr>
                <w:ilvl w:val="0"/>
                <w:numId w:val="7"/>
              </w:numPr>
              <w:spacing w:line="276" w:lineRule="auto"/>
              <w:ind w:left="157" w:hanging="157"/>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i/>
                <w:iCs/>
                <w:sz w:val="20"/>
                <w:szCs w:val="20"/>
              </w:rPr>
              <w:t>Lower</w:t>
            </w:r>
            <w:r w:rsidR="00A82DB9">
              <w:rPr>
                <w:i/>
                <w:iCs/>
                <w:sz w:val="20"/>
                <w:szCs w:val="20"/>
              </w:rPr>
              <w:t xml:space="preserve"> CO</w:t>
            </w:r>
            <w:r w:rsidR="00A82DB9" w:rsidRPr="000752D6">
              <w:rPr>
                <w:i/>
                <w:iCs/>
                <w:sz w:val="20"/>
                <w:szCs w:val="20"/>
                <w:vertAlign w:val="subscript"/>
              </w:rPr>
              <w:t>2</w:t>
            </w:r>
            <w:r w:rsidR="00A82DB9">
              <w:rPr>
                <w:i/>
                <w:iCs/>
                <w:sz w:val="20"/>
                <w:szCs w:val="20"/>
              </w:rPr>
              <w:t xml:space="preserve"> </w:t>
            </w:r>
            <w:r w:rsidR="002A4A39">
              <w:rPr>
                <w:sz w:val="20"/>
                <w:szCs w:val="20"/>
              </w:rPr>
              <w:t>:</w:t>
            </w:r>
            <w:r w:rsidRPr="00DE3B68">
              <w:rPr>
                <w:sz w:val="20"/>
                <w:szCs w:val="20"/>
              </w:rPr>
              <w:t xml:space="preserve"> 2039</w:t>
            </w:r>
          </w:p>
          <w:p w14:paraId="1CD96612" w14:textId="47DE4F7C" w:rsidR="00864617" w:rsidRPr="00DA3008" w:rsidRDefault="00864617" w:rsidP="00DA3008">
            <w:pPr>
              <w:pStyle w:val="ListParagraph"/>
              <w:numPr>
                <w:ilvl w:val="0"/>
                <w:numId w:val="7"/>
              </w:numPr>
              <w:spacing w:line="276" w:lineRule="auto"/>
              <w:ind w:left="157" w:hanging="157"/>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i/>
                <w:iCs/>
                <w:sz w:val="20"/>
                <w:szCs w:val="20"/>
              </w:rPr>
              <w:t>Moderate, Higher, &amp; EL</w:t>
            </w:r>
            <w:r w:rsidR="00A82DB9">
              <w:rPr>
                <w:i/>
                <w:iCs/>
                <w:sz w:val="20"/>
                <w:szCs w:val="20"/>
              </w:rPr>
              <w:t xml:space="preserve"> CO</w:t>
            </w:r>
            <w:r w:rsidR="00A82DB9" w:rsidRPr="000752D6">
              <w:rPr>
                <w:i/>
                <w:iCs/>
                <w:sz w:val="20"/>
                <w:szCs w:val="20"/>
                <w:vertAlign w:val="subscript"/>
              </w:rPr>
              <w:t>2</w:t>
            </w:r>
            <w:r w:rsidRPr="00DE3B68">
              <w:rPr>
                <w:sz w:val="20"/>
                <w:szCs w:val="20"/>
              </w:rPr>
              <w:t>: 2036</w:t>
            </w:r>
          </w:p>
        </w:tc>
        <w:tc>
          <w:tcPr>
            <w:tcW w:w="2070" w:type="dxa"/>
            <w:vAlign w:val="center"/>
          </w:tcPr>
          <w:p w14:paraId="7A9785CF" w14:textId="77777777" w:rsidR="00864617" w:rsidRPr="00DE3B68" w:rsidRDefault="00864617" w:rsidP="00A82DB9">
            <w:pPr>
              <w:pStyle w:val="ListParagraph"/>
              <w:numPr>
                <w:ilvl w:val="0"/>
                <w:numId w:val="7"/>
              </w:numPr>
              <w:spacing w:line="276" w:lineRule="auto"/>
              <w:ind w:left="157" w:hanging="157"/>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Market options (2029 limited to 900 MW)</w:t>
            </w:r>
          </w:p>
          <w:p w14:paraId="21F56025" w14:textId="796B41C3" w:rsidR="00864617" w:rsidRPr="00DE3B68" w:rsidRDefault="001B7C68" w:rsidP="00A82DB9">
            <w:pPr>
              <w:pStyle w:val="ListParagraph"/>
              <w:numPr>
                <w:ilvl w:val="0"/>
                <w:numId w:val="7"/>
              </w:numPr>
              <w:spacing w:line="276" w:lineRule="auto"/>
              <w:ind w:left="157" w:hanging="157"/>
              <w:jc w:val="lef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Natural gas firm transportation (“</w:t>
            </w:r>
            <w:r w:rsidR="00864617" w:rsidRPr="00DE3B68">
              <w:rPr>
                <w:sz w:val="20"/>
                <w:szCs w:val="20"/>
              </w:rPr>
              <w:t>FT</w:t>
            </w:r>
            <w:r>
              <w:rPr>
                <w:sz w:val="20"/>
                <w:szCs w:val="20"/>
              </w:rPr>
              <w:t>”)</w:t>
            </w:r>
            <w:r w:rsidR="00864617" w:rsidRPr="00DE3B68">
              <w:rPr>
                <w:sz w:val="20"/>
                <w:szCs w:val="20"/>
              </w:rPr>
              <w:t xml:space="preserve"> availability</w:t>
            </w:r>
          </w:p>
        </w:tc>
        <w:tc>
          <w:tcPr>
            <w:tcW w:w="2340" w:type="dxa"/>
            <w:vAlign w:val="center"/>
          </w:tcPr>
          <w:p w14:paraId="5D762E5A" w14:textId="77777777"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N/A</w:t>
            </w:r>
          </w:p>
        </w:tc>
      </w:tr>
      <w:tr w:rsidR="008C349A" w14:paraId="255E7F6F" w14:textId="77777777" w:rsidTr="00DA3008">
        <w:tc>
          <w:tcPr>
            <w:cnfStyle w:val="001000000000" w:firstRow="0" w:lastRow="0" w:firstColumn="1" w:lastColumn="0" w:oddVBand="0" w:evenVBand="0" w:oddHBand="0" w:evenHBand="0" w:firstRowFirstColumn="0" w:firstRowLastColumn="0" w:lastRowFirstColumn="0" w:lastRowLastColumn="0"/>
            <w:tcW w:w="1795" w:type="dxa"/>
            <w:vAlign w:val="center"/>
          </w:tcPr>
          <w:p w14:paraId="516487DD" w14:textId="3F958FE6" w:rsidR="00864617" w:rsidRPr="00DE3B68" w:rsidRDefault="00297EDC" w:rsidP="000752D6">
            <w:pPr>
              <w:spacing w:line="276" w:lineRule="auto"/>
              <w:jc w:val="left"/>
              <w:rPr>
                <w:sz w:val="20"/>
                <w:szCs w:val="20"/>
              </w:rPr>
            </w:pPr>
            <w:r>
              <w:rPr>
                <w:sz w:val="20"/>
                <w:szCs w:val="20"/>
              </w:rPr>
              <w:t>NG</w:t>
            </w:r>
            <w:r w:rsidR="00864617" w:rsidRPr="00DE3B68">
              <w:rPr>
                <w:sz w:val="20"/>
                <w:szCs w:val="20"/>
              </w:rPr>
              <w:t xml:space="preserve">CC with CCS (local </w:t>
            </w:r>
            <w:r w:rsidR="00534712">
              <w:rPr>
                <w:sz w:val="20"/>
                <w:szCs w:val="20"/>
              </w:rPr>
              <w:t>sequestration</w:t>
            </w:r>
            <w:r w:rsidR="00864617" w:rsidRPr="00DE3B68">
              <w:rPr>
                <w:sz w:val="20"/>
                <w:szCs w:val="20"/>
              </w:rPr>
              <w:t>)</w:t>
            </w:r>
          </w:p>
        </w:tc>
        <w:tc>
          <w:tcPr>
            <w:tcW w:w="1170" w:type="dxa"/>
            <w:vAlign w:val="center"/>
          </w:tcPr>
          <w:p w14:paraId="18BCF7F6" w14:textId="77777777"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2037</w:t>
            </w:r>
          </w:p>
        </w:tc>
        <w:tc>
          <w:tcPr>
            <w:tcW w:w="2160" w:type="dxa"/>
            <w:vAlign w:val="center"/>
          </w:tcPr>
          <w:p w14:paraId="24816792" w14:textId="77777777" w:rsidR="00864617" w:rsidRPr="00DE3B68" w:rsidRDefault="00864617" w:rsidP="00A82DB9">
            <w:pPr>
              <w:spacing w:line="276"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Available through planning horizon</w:t>
            </w:r>
          </w:p>
        </w:tc>
        <w:tc>
          <w:tcPr>
            <w:tcW w:w="2070" w:type="dxa"/>
            <w:vAlign w:val="center"/>
          </w:tcPr>
          <w:p w14:paraId="24449D04" w14:textId="77777777" w:rsidR="00864617" w:rsidRPr="00DE3B68" w:rsidRDefault="00864617" w:rsidP="00A82DB9">
            <w:pPr>
              <w:pStyle w:val="ListParagraph"/>
              <w:numPr>
                <w:ilvl w:val="0"/>
                <w:numId w:val="7"/>
              </w:numPr>
              <w:spacing w:line="276" w:lineRule="auto"/>
              <w:ind w:left="157" w:hanging="157"/>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FT availability</w:t>
            </w:r>
          </w:p>
          <w:p w14:paraId="774861D7" w14:textId="62EBF000" w:rsidR="00864617" w:rsidRPr="00DE3B68" w:rsidRDefault="00864617" w:rsidP="00A82DB9">
            <w:pPr>
              <w:pStyle w:val="ListParagraph"/>
              <w:numPr>
                <w:ilvl w:val="0"/>
                <w:numId w:val="7"/>
              </w:numPr>
              <w:spacing w:line="276" w:lineRule="auto"/>
              <w:ind w:left="157" w:hanging="157"/>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Geology (</w:t>
            </w:r>
            <w:r w:rsidR="005F143D" w:rsidRPr="005F143D">
              <w:rPr>
                <w:b/>
                <w:bCs/>
                <w:sz w:val="16"/>
                <w:szCs w:val="16"/>
              </w:rPr>
              <w:t>REDACTED</w:t>
            </w:r>
            <w:r w:rsidRPr="00DE3B68">
              <w:rPr>
                <w:sz w:val="20"/>
                <w:szCs w:val="20"/>
              </w:rPr>
              <w:t xml:space="preserve"> total for system; </w:t>
            </w:r>
            <w:r w:rsidR="00C10E44" w:rsidRPr="005F143D">
              <w:rPr>
                <w:b/>
                <w:bCs/>
                <w:sz w:val="16"/>
                <w:szCs w:val="16"/>
              </w:rPr>
              <w:t xml:space="preserve"> REDACTED</w:t>
            </w:r>
            <w:r w:rsidR="00C10E44" w:rsidRPr="00DE3B68">
              <w:rPr>
                <w:sz w:val="20"/>
                <w:szCs w:val="20"/>
              </w:rPr>
              <w:t xml:space="preserve"> </w:t>
            </w:r>
            <w:r w:rsidRPr="00DE3B68">
              <w:rPr>
                <w:sz w:val="20"/>
                <w:szCs w:val="20"/>
              </w:rPr>
              <w:t>in Georgia)</w:t>
            </w:r>
          </w:p>
        </w:tc>
        <w:tc>
          <w:tcPr>
            <w:tcW w:w="2340" w:type="dxa"/>
            <w:vAlign w:val="center"/>
          </w:tcPr>
          <w:p w14:paraId="78A00AD3" w14:textId="4C6120DB" w:rsidR="001E5589" w:rsidRPr="00CC6799" w:rsidRDefault="001E5589"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C6799">
              <w:rPr>
                <w:sz w:val="20"/>
                <w:szCs w:val="20"/>
              </w:rPr>
              <w:t>45Q</w:t>
            </w:r>
            <w:r w:rsidR="002B415A">
              <w:rPr>
                <w:sz w:val="20"/>
                <w:szCs w:val="20"/>
              </w:rPr>
              <w:t xml:space="preserve"> Tax Credit</w:t>
            </w:r>
          </w:p>
          <w:p w14:paraId="2EDE6892" w14:textId="61594D70"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COD before 2039</w:t>
            </w:r>
          </w:p>
        </w:tc>
      </w:tr>
      <w:tr w:rsidR="008C349A" w14:paraId="0B73811A" w14:textId="77777777" w:rsidTr="00DA3008">
        <w:tc>
          <w:tcPr>
            <w:cnfStyle w:val="001000000000" w:firstRow="0" w:lastRow="0" w:firstColumn="1" w:lastColumn="0" w:oddVBand="0" w:evenVBand="0" w:oddHBand="0" w:evenHBand="0" w:firstRowFirstColumn="0" w:firstRowLastColumn="0" w:lastRowFirstColumn="0" w:lastRowLastColumn="0"/>
            <w:tcW w:w="1795" w:type="dxa"/>
            <w:vAlign w:val="center"/>
          </w:tcPr>
          <w:p w14:paraId="354B895C" w14:textId="21869337" w:rsidR="00864617" w:rsidRPr="00DE3B68" w:rsidRDefault="00297EDC" w:rsidP="000752D6">
            <w:pPr>
              <w:spacing w:line="276" w:lineRule="auto"/>
              <w:jc w:val="left"/>
              <w:rPr>
                <w:sz w:val="20"/>
                <w:szCs w:val="20"/>
              </w:rPr>
            </w:pPr>
            <w:r>
              <w:rPr>
                <w:sz w:val="20"/>
                <w:szCs w:val="20"/>
              </w:rPr>
              <w:t>NG</w:t>
            </w:r>
            <w:r w:rsidR="00864617" w:rsidRPr="00DE3B68">
              <w:rPr>
                <w:sz w:val="20"/>
                <w:szCs w:val="20"/>
              </w:rPr>
              <w:t xml:space="preserve">CC with CCS (distant </w:t>
            </w:r>
            <w:r w:rsidR="00534712">
              <w:rPr>
                <w:sz w:val="20"/>
                <w:szCs w:val="20"/>
              </w:rPr>
              <w:t>sequestration</w:t>
            </w:r>
            <w:r w:rsidR="00864617" w:rsidRPr="00DE3B68">
              <w:rPr>
                <w:sz w:val="20"/>
                <w:szCs w:val="20"/>
              </w:rPr>
              <w:t>)</w:t>
            </w:r>
          </w:p>
        </w:tc>
        <w:tc>
          <w:tcPr>
            <w:tcW w:w="1170" w:type="dxa"/>
            <w:vAlign w:val="center"/>
          </w:tcPr>
          <w:p w14:paraId="2DE16591" w14:textId="77777777"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2037</w:t>
            </w:r>
          </w:p>
        </w:tc>
        <w:tc>
          <w:tcPr>
            <w:tcW w:w="2160" w:type="dxa"/>
            <w:vAlign w:val="center"/>
          </w:tcPr>
          <w:p w14:paraId="3B0228AB" w14:textId="77777777" w:rsidR="00864617" w:rsidRPr="00DE3B68" w:rsidRDefault="00864617" w:rsidP="00A82DB9">
            <w:pPr>
              <w:spacing w:line="276"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Available through planning horizon</w:t>
            </w:r>
          </w:p>
        </w:tc>
        <w:tc>
          <w:tcPr>
            <w:tcW w:w="2070" w:type="dxa"/>
            <w:vAlign w:val="center"/>
          </w:tcPr>
          <w:p w14:paraId="498F191D" w14:textId="21703A04" w:rsidR="00864617" w:rsidRPr="00DE3B68" w:rsidRDefault="00864617" w:rsidP="00A82DB9">
            <w:pPr>
              <w:spacing w:line="276"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FT availability</w:t>
            </w:r>
          </w:p>
        </w:tc>
        <w:tc>
          <w:tcPr>
            <w:tcW w:w="2340" w:type="dxa"/>
            <w:vAlign w:val="center"/>
          </w:tcPr>
          <w:p w14:paraId="007CABBD" w14:textId="77D4FB44" w:rsidR="00C404C7" w:rsidRPr="00CC6799" w:rsidRDefault="001E5589" w:rsidP="00A82DB9">
            <w:pPr>
              <w:keepNext/>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CC6799">
              <w:rPr>
                <w:sz w:val="20"/>
                <w:szCs w:val="20"/>
              </w:rPr>
              <w:t>45Q</w:t>
            </w:r>
            <w:r w:rsidR="00864617" w:rsidRPr="00DE3B68">
              <w:rPr>
                <w:sz w:val="20"/>
                <w:szCs w:val="20"/>
              </w:rPr>
              <w:t xml:space="preserve"> </w:t>
            </w:r>
            <w:r w:rsidR="002B415A">
              <w:rPr>
                <w:sz w:val="20"/>
                <w:szCs w:val="20"/>
              </w:rPr>
              <w:t>Tax Credit</w:t>
            </w:r>
          </w:p>
          <w:p w14:paraId="11C3467A" w14:textId="5DCC44EA" w:rsidR="00864617" w:rsidRPr="00DE3B68" w:rsidRDefault="00864617" w:rsidP="00A82DB9">
            <w:pPr>
              <w:keepNext/>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COD before 2039</w:t>
            </w:r>
          </w:p>
        </w:tc>
      </w:tr>
      <w:tr w:rsidR="0066353D" w14:paraId="364042FA" w14:textId="77777777" w:rsidTr="00DA3008">
        <w:tc>
          <w:tcPr>
            <w:cnfStyle w:val="001000000000" w:firstRow="0" w:lastRow="0" w:firstColumn="1" w:lastColumn="0" w:oddVBand="0" w:evenVBand="0" w:oddHBand="0" w:evenHBand="0" w:firstRowFirstColumn="0" w:firstRowLastColumn="0" w:lastRowFirstColumn="0" w:lastRowLastColumn="0"/>
            <w:tcW w:w="1795" w:type="dxa"/>
            <w:vAlign w:val="center"/>
          </w:tcPr>
          <w:p w14:paraId="4BD5326D" w14:textId="459D2BAF" w:rsidR="00864617" w:rsidRPr="00DE3B68" w:rsidRDefault="00864617" w:rsidP="000752D6">
            <w:pPr>
              <w:spacing w:line="276" w:lineRule="auto"/>
              <w:jc w:val="left"/>
              <w:rPr>
                <w:sz w:val="20"/>
                <w:szCs w:val="20"/>
              </w:rPr>
            </w:pPr>
            <w:r w:rsidRPr="00DE3B68">
              <w:rPr>
                <w:sz w:val="20"/>
                <w:szCs w:val="20"/>
              </w:rPr>
              <w:t>CT with SCR</w:t>
            </w:r>
          </w:p>
        </w:tc>
        <w:tc>
          <w:tcPr>
            <w:tcW w:w="1170" w:type="dxa"/>
            <w:vAlign w:val="center"/>
          </w:tcPr>
          <w:p w14:paraId="4CFC601B" w14:textId="39A1BC3B"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2029</w:t>
            </w:r>
          </w:p>
        </w:tc>
        <w:tc>
          <w:tcPr>
            <w:tcW w:w="2160" w:type="dxa"/>
            <w:vAlign w:val="center"/>
          </w:tcPr>
          <w:p w14:paraId="08FFC3DA" w14:textId="0CBEED3E" w:rsidR="00864617" w:rsidRPr="00DE3B68" w:rsidRDefault="00864617" w:rsidP="00A82DB9">
            <w:pPr>
              <w:spacing w:line="276"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Available through planning horizon</w:t>
            </w:r>
          </w:p>
        </w:tc>
        <w:tc>
          <w:tcPr>
            <w:tcW w:w="2070" w:type="dxa"/>
            <w:vAlign w:val="center"/>
          </w:tcPr>
          <w:p w14:paraId="7F23923B" w14:textId="0864E5E9" w:rsidR="00864617" w:rsidRPr="00DE3B68" w:rsidRDefault="00864617" w:rsidP="00A82DB9">
            <w:pPr>
              <w:pStyle w:val="ListParagraph"/>
              <w:numPr>
                <w:ilvl w:val="0"/>
                <w:numId w:val="7"/>
              </w:numPr>
              <w:spacing w:line="276" w:lineRule="auto"/>
              <w:ind w:left="157" w:hanging="157"/>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Oil operation in winter months</w:t>
            </w:r>
            <w:r w:rsidR="00123848">
              <w:rPr>
                <w:sz w:val="20"/>
                <w:szCs w:val="20"/>
              </w:rPr>
              <w:t xml:space="preserve"> (Dec</w:t>
            </w:r>
            <w:r w:rsidR="005F67E8">
              <w:rPr>
                <w:sz w:val="20"/>
                <w:szCs w:val="20"/>
              </w:rPr>
              <w:t>-Jan-</w:t>
            </w:r>
            <w:r w:rsidR="00123848">
              <w:rPr>
                <w:sz w:val="20"/>
                <w:szCs w:val="20"/>
              </w:rPr>
              <w:t>Feb)</w:t>
            </w:r>
          </w:p>
          <w:p w14:paraId="57094614" w14:textId="12ADD294" w:rsidR="00864617" w:rsidRPr="00DE3B68" w:rsidRDefault="00864617" w:rsidP="00A82DB9">
            <w:pPr>
              <w:pStyle w:val="ListParagraph"/>
              <w:numPr>
                <w:ilvl w:val="0"/>
                <w:numId w:val="7"/>
              </w:numPr>
              <w:spacing w:line="276" w:lineRule="auto"/>
              <w:ind w:left="157" w:hanging="157"/>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20% capacity factor annually</w:t>
            </w:r>
          </w:p>
        </w:tc>
        <w:tc>
          <w:tcPr>
            <w:tcW w:w="2340" w:type="dxa"/>
            <w:vAlign w:val="center"/>
          </w:tcPr>
          <w:p w14:paraId="19D25CD6" w14:textId="31743608" w:rsidR="00864617" w:rsidRPr="00DE3B68" w:rsidRDefault="00864617" w:rsidP="00A82DB9">
            <w:pPr>
              <w:keepNext/>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N/A</w:t>
            </w:r>
          </w:p>
        </w:tc>
      </w:tr>
      <w:tr w:rsidR="0066353D" w14:paraId="5C8AB4AA" w14:textId="77777777" w:rsidTr="00DA3008">
        <w:tc>
          <w:tcPr>
            <w:cnfStyle w:val="001000000000" w:firstRow="0" w:lastRow="0" w:firstColumn="1" w:lastColumn="0" w:oddVBand="0" w:evenVBand="0" w:oddHBand="0" w:evenHBand="0" w:firstRowFirstColumn="0" w:firstRowLastColumn="0" w:lastRowFirstColumn="0" w:lastRowLastColumn="0"/>
            <w:tcW w:w="1795" w:type="dxa"/>
            <w:vAlign w:val="center"/>
          </w:tcPr>
          <w:p w14:paraId="63D7C20E" w14:textId="68D6E31C" w:rsidR="00864617" w:rsidRPr="00DE3B68" w:rsidRDefault="00864617" w:rsidP="000752D6">
            <w:pPr>
              <w:spacing w:line="276" w:lineRule="auto"/>
              <w:jc w:val="left"/>
              <w:rPr>
                <w:sz w:val="20"/>
                <w:szCs w:val="20"/>
              </w:rPr>
            </w:pPr>
            <w:r w:rsidRPr="00DE3B68">
              <w:rPr>
                <w:sz w:val="20"/>
                <w:szCs w:val="20"/>
              </w:rPr>
              <w:t>Solar</w:t>
            </w:r>
            <w:r w:rsidR="003302AA">
              <w:rPr>
                <w:sz w:val="20"/>
                <w:szCs w:val="20"/>
              </w:rPr>
              <w:t xml:space="preserve"> PV</w:t>
            </w:r>
          </w:p>
        </w:tc>
        <w:tc>
          <w:tcPr>
            <w:tcW w:w="1170" w:type="dxa"/>
            <w:vAlign w:val="center"/>
          </w:tcPr>
          <w:p w14:paraId="673C7F48" w14:textId="038D9B85"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2028</w:t>
            </w:r>
          </w:p>
        </w:tc>
        <w:tc>
          <w:tcPr>
            <w:tcW w:w="2160" w:type="dxa"/>
            <w:vAlign w:val="center"/>
          </w:tcPr>
          <w:p w14:paraId="16EBD216" w14:textId="6A93EE8B" w:rsidR="00864617" w:rsidRPr="00DE3B68" w:rsidRDefault="00864617" w:rsidP="00A82DB9">
            <w:pPr>
              <w:spacing w:line="276"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Available through planning horizon</w:t>
            </w:r>
          </w:p>
        </w:tc>
        <w:tc>
          <w:tcPr>
            <w:tcW w:w="2070" w:type="dxa"/>
            <w:vAlign w:val="center"/>
          </w:tcPr>
          <w:p w14:paraId="6FE7632A" w14:textId="6EF7128A" w:rsidR="00864617" w:rsidRPr="00DE3B68" w:rsidRDefault="00864617" w:rsidP="00A82DB9">
            <w:pPr>
              <w:pStyle w:val="ListParagraph"/>
              <w:numPr>
                <w:ilvl w:val="0"/>
                <w:numId w:val="7"/>
              </w:numPr>
              <w:spacing w:line="276" w:lineRule="auto"/>
              <w:ind w:left="157" w:hanging="157"/>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1,500 MW/year</w:t>
            </w:r>
          </w:p>
        </w:tc>
        <w:tc>
          <w:tcPr>
            <w:tcW w:w="2340" w:type="dxa"/>
            <w:vAlign w:val="center"/>
          </w:tcPr>
          <w:p w14:paraId="178F217C" w14:textId="4AE99C0D"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PTC</w:t>
            </w:r>
            <w:r w:rsidR="00B9523A" w:rsidRPr="00CC6799">
              <w:rPr>
                <w:sz w:val="20"/>
                <w:szCs w:val="20"/>
              </w:rPr>
              <w:t xml:space="preserve"> (4</w:t>
            </w:r>
            <w:r w:rsidR="00307336">
              <w:rPr>
                <w:sz w:val="20"/>
                <w:szCs w:val="20"/>
              </w:rPr>
              <w:t>5Y</w:t>
            </w:r>
            <w:r w:rsidR="00B9523A" w:rsidRPr="00CC6799">
              <w:rPr>
                <w:sz w:val="20"/>
                <w:szCs w:val="20"/>
              </w:rPr>
              <w:t>)</w:t>
            </w:r>
          </w:p>
          <w:p w14:paraId="69045482" w14:textId="4E62297E"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 xml:space="preserve">Tech: </w:t>
            </w:r>
            <w:r w:rsidR="00CC6799" w:rsidRPr="00CC6799">
              <w:rPr>
                <w:sz w:val="20"/>
                <w:szCs w:val="20"/>
              </w:rPr>
              <w:t>Planning horizon</w:t>
            </w:r>
          </w:p>
          <w:p w14:paraId="662ADD7C" w14:textId="26DEB5BE"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 xml:space="preserve">IRA 2045: COD </w:t>
            </w:r>
            <w:r w:rsidR="008C349A" w:rsidRPr="00CC6799">
              <w:rPr>
                <w:sz w:val="20"/>
                <w:szCs w:val="20"/>
              </w:rPr>
              <w:t>by</w:t>
            </w:r>
            <w:r w:rsidR="008C349A" w:rsidRPr="00DE3B68">
              <w:rPr>
                <w:sz w:val="20"/>
                <w:szCs w:val="20"/>
              </w:rPr>
              <w:t xml:space="preserve"> </w:t>
            </w:r>
            <w:r w:rsidRPr="00DE3B68">
              <w:rPr>
                <w:sz w:val="20"/>
                <w:szCs w:val="20"/>
              </w:rPr>
              <w:t>2049</w:t>
            </w:r>
          </w:p>
          <w:p w14:paraId="1AD445E9" w14:textId="454157BE" w:rsidR="00864617" w:rsidRPr="00DE3B68" w:rsidRDefault="00864617" w:rsidP="00A82DB9">
            <w:pPr>
              <w:keepNext/>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 xml:space="preserve">IRA 2035: COD </w:t>
            </w:r>
            <w:r w:rsidR="00DA3008">
              <w:rPr>
                <w:sz w:val="20"/>
                <w:szCs w:val="20"/>
              </w:rPr>
              <w:t>by</w:t>
            </w:r>
            <w:r w:rsidRPr="00DE3B68">
              <w:rPr>
                <w:sz w:val="20"/>
                <w:szCs w:val="20"/>
              </w:rPr>
              <w:t xml:space="preserve"> 2039</w:t>
            </w:r>
          </w:p>
        </w:tc>
      </w:tr>
      <w:tr w:rsidR="00714CD7" w14:paraId="20DE7AC0" w14:textId="77777777" w:rsidTr="00DA3008">
        <w:tc>
          <w:tcPr>
            <w:cnfStyle w:val="001000000000" w:firstRow="0" w:lastRow="0" w:firstColumn="1" w:lastColumn="0" w:oddVBand="0" w:evenVBand="0" w:oddHBand="0" w:evenHBand="0" w:firstRowFirstColumn="0" w:firstRowLastColumn="0" w:lastRowFirstColumn="0" w:lastRowLastColumn="0"/>
            <w:tcW w:w="1795" w:type="dxa"/>
            <w:vAlign w:val="center"/>
          </w:tcPr>
          <w:p w14:paraId="3AAE5982" w14:textId="1C1B3356" w:rsidR="00864617" w:rsidRPr="00DE3B68" w:rsidRDefault="00864617" w:rsidP="000752D6">
            <w:pPr>
              <w:spacing w:line="276" w:lineRule="auto"/>
              <w:jc w:val="left"/>
              <w:rPr>
                <w:sz w:val="20"/>
                <w:szCs w:val="20"/>
              </w:rPr>
            </w:pPr>
            <w:r w:rsidRPr="00DE3B68">
              <w:rPr>
                <w:sz w:val="20"/>
                <w:szCs w:val="20"/>
              </w:rPr>
              <w:t>Wind</w:t>
            </w:r>
          </w:p>
        </w:tc>
        <w:tc>
          <w:tcPr>
            <w:tcW w:w="1170" w:type="dxa"/>
            <w:vAlign w:val="center"/>
          </w:tcPr>
          <w:p w14:paraId="4DAC9396" w14:textId="5A8D2F8D"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2033</w:t>
            </w:r>
          </w:p>
        </w:tc>
        <w:tc>
          <w:tcPr>
            <w:tcW w:w="2160" w:type="dxa"/>
            <w:vAlign w:val="center"/>
          </w:tcPr>
          <w:p w14:paraId="70A6C6A5" w14:textId="75660EBC" w:rsidR="00864617" w:rsidRPr="00DE3B68" w:rsidRDefault="00864617" w:rsidP="00A82DB9">
            <w:pPr>
              <w:spacing w:line="276"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Available through planning horizon</w:t>
            </w:r>
          </w:p>
        </w:tc>
        <w:tc>
          <w:tcPr>
            <w:tcW w:w="2070" w:type="dxa"/>
            <w:vAlign w:val="center"/>
          </w:tcPr>
          <w:p w14:paraId="3ABB113D" w14:textId="1283CE9F" w:rsidR="0066353D" w:rsidRPr="00DE3B68" w:rsidRDefault="00864617" w:rsidP="00A82DB9">
            <w:pPr>
              <w:pStyle w:val="ListParagraph"/>
              <w:numPr>
                <w:ilvl w:val="0"/>
                <w:numId w:val="7"/>
              </w:numPr>
              <w:spacing w:line="276" w:lineRule="auto"/>
              <w:ind w:left="157" w:hanging="157"/>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300 MW/year</w:t>
            </w:r>
          </w:p>
          <w:p w14:paraId="491F8A06" w14:textId="582C65FB" w:rsidR="00864617" w:rsidRPr="00DE3B68" w:rsidRDefault="00864617" w:rsidP="00A82DB9">
            <w:pPr>
              <w:pStyle w:val="ListParagraph"/>
              <w:numPr>
                <w:ilvl w:val="0"/>
                <w:numId w:val="7"/>
              </w:numPr>
              <w:spacing w:line="276" w:lineRule="auto"/>
              <w:ind w:left="157" w:hanging="157"/>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 xml:space="preserve">4,500 MW </w:t>
            </w:r>
            <w:r w:rsidR="00123848">
              <w:rPr>
                <w:sz w:val="20"/>
                <w:szCs w:val="20"/>
              </w:rPr>
              <w:t>total</w:t>
            </w:r>
          </w:p>
        </w:tc>
        <w:tc>
          <w:tcPr>
            <w:tcW w:w="2340" w:type="dxa"/>
            <w:vAlign w:val="center"/>
          </w:tcPr>
          <w:p w14:paraId="7C3C35F8" w14:textId="6CD56BE4"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PTC</w:t>
            </w:r>
            <w:r w:rsidR="00B9523A" w:rsidRPr="00CC6799">
              <w:rPr>
                <w:sz w:val="20"/>
                <w:szCs w:val="20"/>
              </w:rPr>
              <w:t xml:space="preserve"> (4</w:t>
            </w:r>
            <w:r w:rsidR="00307336">
              <w:rPr>
                <w:sz w:val="20"/>
                <w:szCs w:val="20"/>
              </w:rPr>
              <w:t>5Y</w:t>
            </w:r>
            <w:r w:rsidR="00B9523A" w:rsidRPr="00CC6799">
              <w:rPr>
                <w:sz w:val="20"/>
                <w:szCs w:val="20"/>
              </w:rPr>
              <w:t>)</w:t>
            </w:r>
          </w:p>
          <w:p w14:paraId="2CEF642E" w14:textId="0F89003C"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 xml:space="preserve">Tech: </w:t>
            </w:r>
            <w:r w:rsidR="00CC6799" w:rsidRPr="00CC6799">
              <w:rPr>
                <w:sz w:val="20"/>
                <w:szCs w:val="20"/>
              </w:rPr>
              <w:t>Planning horizon</w:t>
            </w:r>
          </w:p>
          <w:p w14:paraId="76E30090" w14:textId="6ADB457A"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 xml:space="preserve">IRA 2045: COD </w:t>
            </w:r>
            <w:r w:rsidR="00DA3008">
              <w:rPr>
                <w:sz w:val="20"/>
                <w:szCs w:val="20"/>
              </w:rPr>
              <w:t>by</w:t>
            </w:r>
            <w:r w:rsidRPr="00DE3B68">
              <w:rPr>
                <w:sz w:val="20"/>
                <w:szCs w:val="20"/>
              </w:rPr>
              <w:t xml:space="preserve"> 2049</w:t>
            </w:r>
          </w:p>
          <w:p w14:paraId="59FED92D" w14:textId="185EF370"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IRA 2035: COD b</w:t>
            </w:r>
            <w:r w:rsidR="00DA3008">
              <w:rPr>
                <w:sz w:val="20"/>
                <w:szCs w:val="20"/>
              </w:rPr>
              <w:t>y</w:t>
            </w:r>
            <w:r w:rsidRPr="00DE3B68">
              <w:rPr>
                <w:sz w:val="20"/>
                <w:szCs w:val="20"/>
              </w:rPr>
              <w:t xml:space="preserve"> 2039</w:t>
            </w:r>
          </w:p>
        </w:tc>
      </w:tr>
      <w:tr w:rsidR="00714CD7" w14:paraId="69D2178E" w14:textId="77777777" w:rsidTr="00DA3008">
        <w:tc>
          <w:tcPr>
            <w:cnfStyle w:val="001000000000" w:firstRow="0" w:lastRow="0" w:firstColumn="1" w:lastColumn="0" w:oddVBand="0" w:evenVBand="0" w:oddHBand="0" w:evenHBand="0" w:firstRowFirstColumn="0" w:firstRowLastColumn="0" w:lastRowFirstColumn="0" w:lastRowLastColumn="0"/>
            <w:tcW w:w="1795" w:type="dxa"/>
            <w:vAlign w:val="center"/>
          </w:tcPr>
          <w:p w14:paraId="1C0B466D" w14:textId="7DB6910D" w:rsidR="00864617" w:rsidRPr="00DE3B68" w:rsidRDefault="005A3AE4" w:rsidP="000752D6">
            <w:pPr>
              <w:spacing w:line="276" w:lineRule="auto"/>
              <w:jc w:val="left"/>
              <w:rPr>
                <w:sz w:val="20"/>
                <w:szCs w:val="20"/>
              </w:rPr>
            </w:pPr>
            <w:r>
              <w:rPr>
                <w:sz w:val="20"/>
                <w:szCs w:val="20"/>
              </w:rPr>
              <w:t>BESS</w:t>
            </w:r>
          </w:p>
        </w:tc>
        <w:tc>
          <w:tcPr>
            <w:tcW w:w="1170" w:type="dxa"/>
            <w:vAlign w:val="center"/>
          </w:tcPr>
          <w:p w14:paraId="77998ADA" w14:textId="2E1DE8E4"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2028</w:t>
            </w:r>
          </w:p>
        </w:tc>
        <w:tc>
          <w:tcPr>
            <w:tcW w:w="2160" w:type="dxa"/>
            <w:vAlign w:val="center"/>
          </w:tcPr>
          <w:p w14:paraId="5870C36E" w14:textId="4C7C3224" w:rsidR="00864617" w:rsidRPr="00DE3B68" w:rsidRDefault="00864617" w:rsidP="00A82DB9">
            <w:pPr>
              <w:spacing w:line="276"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Available through planning horizon</w:t>
            </w:r>
          </w:p>
        </w:tc>
        <w:tc>
          <w:tcPr>
            <w:tcW w:w="2070" w:type="dxa"/>
            <w:vAlign w:val="center"/>
          </w:tcPr>
          <w:p w14:paraId="79064513" w14:textId="353D90D7" w:rsidR="00864617" w:rsidRPr="00DE3B68" w:rsidRDefault="00864617" w:rsidP="00A82DB9">
            <w:pPr>
              <w:pStyle w:val="ListParagraph"/>
              <w:numPr>
                <w:ilvl w:val="0"/>
                <w:numId w:val="7"/>
              </w:numPr>
              <w:spacing w:line="276" w:lineRule="auto"/>
              <w:ind w:left="157" w:hanging="157"/>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3,000 MW/year</w:t>
            </w:r>
          </w:p>
        </w:tc>
        <w:tc>
          <w:tcPr>
            <w:tcW w:w="2340" w:type="dxa"/>
            <w:vAlign w:val="center"/>
          </w:tcPr>
          <w:p w14:paraId="15EA6B2A" w14:textId="1C1B9D47"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ITC</w:t>
            </w:r>
            <w:r w:rsidR="00B9523A" w:rsidRPr="00CC6799">
              <w:rPr>
                <w:sz w:val="20"/>
                <w:szCs w:val="20"/>
              </w:rPr>
              <w:t xml:space="preserve"> (4</w:t>
            </w:r>
            <w:r w:rsidR="00307336">
              <w:rPr>
                <w:sz w:val="20"/>
                <w:szCs w:val="20"/>
              </w:rPr>
              <w:t>8E</w:t>
            </w:r>
            <w:r w:rsidR="00B9523A" w:rsidRPr="00CC6799">
              <w:rPr>
                <w:sz w:val="20"/>
                <w:szCs w:val="20"/>
              </w:rPr>
              <w:t>)</w:t>
            </w:r>
          </w:p>
          <w:p w14:paraId="5D1DE2AD" w14:textId="6A6D70AD"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Tech: planning horizon</w:t>
            </w:r>
          </w:p>
          <w:p w14:paraId="5E8DFE6F" w14:textId="69875D78"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IRA 2045: COD b</w:t>
            </w:r>
            <w:r w:rsidR="00DA3008">
              <w:rPr>
                <w:sz w:val="20"/>
                <w:szCs w:val="20"/>
              </w:rPr>
              <w:t>y</w:t>
            </w:r>
            <w:r w:rsidRPr="00DE3B68">
              <w:rPr>
                <w:sz w:val="20"/>
                <w:szCs w:val="20"/>
              </w:rPr>
              <w:t xml:space="preserve"> 2049</w:t>
            </w:r>
          </w:p>
          <w:p w14:paraId="0094DC3F" w14:textId="620FF4A8"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IRA 2035: COD b</w:t>
            </w:r>
            <w:r w:rsidR="00DA3008">
              <w:rPr>
                <w:sz w:val="20"/>
                <w:szCs w:val="20"/>
              </w:rPr>
              <w:t>y</w:t>
            </w:r>
            <w:r w:rsidRPr="00DE3B68">
              <w:rPr>
                <w:sz w:val="20"/>
                <w:szCs w:val="20"/>
              </w:rPr>
              <w:t xml:space="preserve"> 2039</w:t>
            </w:r>
          </w:p>
        </w:tc>
      </w:tr>
      <w:tr w:rsidR="00714CD7" w14:paraId="1536B19C" w14:textId="77777777" w:rsidTr="00DA3008">
        <w:tc>
          <w:tcPr>
            <w:cnfStyle w:val="001000000000" w:firstRow="0" w:lastRow="0" w:firstColumn="1" w:lastColumn="0" w:oddVBand="0" w:evenVBand="0" w:oddHBand="0" w:evenHBand="0" w:firstRowFirstColumn="0" w:firstRowLastColumn="0" w:lastRowFirstColumn="0" w:lastRowLastColumn="0"/>
            <w:tcW w:w="1795" w:type="dxa"/>
            <w:vAlign w:val="center"/>
          </w:tcPr>
          <w:p w14:paraId="5187C337" w14:textId="6A593320" w:rsidR="00864617" w:rsidRPr="00DE3B68" w:rsidRDefault="003D115F" w:rsidP="000752D6">
            <w:pPr>
              <w:spacing w:line="276" w:lineRule="auto"/>
              <w:jc w:val="left"/>
              <w:rPr>
                <w:sz w:val="20"/>
                <w:szCs w:val="20"/>
              </w:rPr>
            </w:pPr>
            <w:r>
              <w:rPr>
                <w:sz w:val="20"/>
                <w:szCs w:val="20"/>
              </w:rPr>
              <w:t>MDESS</w:t>
            </w:r>
          </w:p>
        </w:tc>
        <w:tc>
          <w:tcPr>
            <w:tcW w:w="1170" w:type="dxa"/>
            <w:vAlign w:val="center"/>
          </w:tcPr>
          <w:p w14:paraId="6058E7C6" w14:textId="37477FCF"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2033</w:t>
            </w:r>
          </w:p>
        </w:tc>
        <w:tc>
          <w:tcPr>
            <w:tcW w:w="2160" w:type="dxa"/>
            <w:vAlign w:val="center"/>
          </w:tcPr>
          <w:p w14:paraId="4DC08C1E" w14:textId="4CFEED95" w:rsidR="00864617" w:rsidRPr="00DE3B68" w:rsidRDefault="00864617" w:rsidP="00A82DB9">
            <w:pPr>
              <w:spacing w:line="276"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Available through planning horizon</w:t>
            </w:r>
          </w:p>
        </w:tc>
        <w:tc>
          <w:tcPr>
            <w:tcW w:w="2070" w:type="dxa"/>
            <w:vAlign w:val="center"/>
          </w:tcPr>
          <w:p w14:paraId="6ECC3808" w14:textId="2CED9C93" w:rsidR="00864617" w:rsidRPr="00DE3B68" w:rsidRDefault="00864617" w:rsidP="00A82DB9">
            <w:pPr>
              <w:pStyle w:val="ListParagraph"/>
              <w:numPr>
                <w:ilvl w:val="0"/>
                <w:numId w:val="7"/>
              </w:numPr>
              <w:spacing w:line="276" w:lineRule="auto"/>
              <w:ind w:left="157" w:hanging="157"/>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3,000 MW/year</w:t>
            </w:r>
          </w:p>
        </w:tc>
        <w:tc>
          <w:tcPr>
            <w:tcW w:w="2340" w:type="dxa"/>
            <w:vAlign w:val="center"/>
          </w:tcPr>
          <w:p w14:paraId="329C8E71" w14:textId="03888C6B"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ITC</w:t>
            </w:r>
            <w:r w:rsidR="00307336">
              <w:rPr>
                <w:sz w:val="20"/>
                <w:szCs w:val="20"/>
              </w:rPr>
              <w:t xml:space="preserve"> (48E)</w:t>
            </w:r>
          </w:p>
          <w:p w14:paraId="3B115320" w14:textId="44ADA15B"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 xml:space="preserve">Tech: </w:t>
            </w:r>
            <w:r w:rsidR="00CC6799" w:rsidRPr="00CC6799">
              <w:rPr>
                <w:sz w:val="20"/>
                <w:szCs w:val="20"/>
              </w:rPr>
              <w:t>P</w:t>
            </w:r>
            <w:r w:rsidRPr="00DE3B68">
              <w:rPr>
                <w:sz w:val="20"/>
                <w:szCs w:val="20"/>
              </w:rPr>
              <w:t>lanning horizon</w:t>
            </w:r>
          </w:p>
          <w:p w14:paraId="22AED6CE" w14:textId="0808DD28"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IRA 2045: COD b</w:t>
            </w:r>
            <w:r w:rsidR="00DA3008">
              <w:rPr>
                <w:sz w:val="20"/>
                <w:szCs w:val="20"/>
              </w:rPr>
              <w:t>y</w:t>
            </w:r>
            <w:r w:rsidRPr="00DE3B68">
              <w:rPr>
                <w:sz w:val="20"/>
                <w:szCs w:val="20"/>
              </w:rPr>
              <w:t xml:space="preserve"> 2049</w:t>
            </w:r>
          </w:p>
          <w:p w14:paraId="2B8E82A5" w14:textId="1F106FF1"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IRA 2035: COD b</w:t>
            </w:r>
            <w:r w:rsidR="00DA3008">
              <w:rPr>
                <w:sz w:val="20"/>
                <w:szCs w:val="20"/>
              </w:rPr>
              <w:t>y</w:t>
            </w:r>
            <w:r w:rsidRPr="00DE3B68">
              <w:rPr>
                <w:sz w:val="20"/>
                <w:szCs w:val="20"/>
              </w:rPr>
              <w:t xml:space="preserve"> 2039</w:t>
            </w:r>
          </w:p>
        </w:tc>
      </w:tr>
      <w:tr w:rsidR="0066353D" w14:paraId="3B3A7B03" w14:textId="77777777" w:rsidTr="00DA3008">
        <w:tc>
          <w:tcPr>
            <w:cnfStyle w:val="001000000000" w:firstRow="0" w:lastRow="0" w:firstColumn="1" w:lastColumn="0" w:oddVBand="0" w:evenVBand="0" w:oddHBand="0" w:evenHBand="0" w:firstRowFirstColumn="0" w:firstRowLastColumn="0" w:lastRowFirstColumn="0" w:lastRowLastColumn="0"/>
            <w:tcW w:w="1795" w:type="dxa"/>
            <w:vAlign w:val="center"/>
          </w:tcPr>
          <w:p w14:paraId="6335B8EF" w14:textId="77777777" w:rsidR="00864617" w:rsidRPr="00DE3B68" w:rsidRDefault="00864617" w:rsidP="000752D6">
            <w:pPr>
              <w:spacing w:line="276" w:lineRule="auto"/>
              <w:jc w:val="left"/>
              <w:rPr>
                <w:sz w:val="20"/>
                <w:szCs w:val="20"/>
              </w:rPr>
            </w:pPr>
            <w:r w:rsidRPr="00DE3B68">
              <w:rPr>
                <w:sz w:val="20"/>
                <w:szCs w:val="20"/>
              </w:rPr>
              <w:t>Nuclear</w:t>
            </w:r>
          </w:p>
          <w:p w14:paraId="396AA23C" w14:textId="1F04903A" w:rsidR="00864617" w:rsidRPr="00DE3B68" w:rsidRDefault="00864617" w:rsidP="000752D6">
            <w:pPr>
              <w:spacing w:line="276" w:lineRule="auto"/>
              <w:jc w:val="left"/>
              <w:rPr>
                <w:sz w:val="20"/>
                <w:szCs w:val="20"/>
              </w:rPr>
            </w:pPr>
            <w:r w:rsidRPr="00DE3B68">
              <w:rPr>
                <w:sz w:val="20"/>
                <w:szCs w:val="20"/>
              </w:rPr>
              <w:t>(AP-1000)</w:t>
            </w:r>
          </w:p>
        </w:tc>
        <w:tc>
          <w:tcPr>
            <w:tcW w:w="1170" w:type="dxa"/>
            <w:vAlign w:val="center"/>
          </w:tcPr>
          <w:p w14:paraId="4ADE9AB5" w14:textId="0D1DCE06"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2037</w:t>
            </w:r>
          </w:p>
        </w:tc>
        <w:tc>
          <w:tcPr>
            <w:tcW w:w="2160" w:type="dxa"/>
            <w:vAlign w:val="center"/>
          </w:tcPr>
          <w:p w14:paraId="58E1F376" w14:textId="302740C7" w:rsidR="00864617" w:rsidRPr="00DE3B68" w:rsidRDefault="00864617" w:rsidP="00A82DB9">
            <w:pPr>
              <w:spacing w:line="276" w:lineRule="auto"/>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Available through planning horizon</w:t>
            </w:r>
          </w:p>
        </w:tc>
        <w:tc>
          <w:tcPr>
            <w:tcW w:w="2070" w:type="dxa"/>
            <w:vAlign w:val="center"/>
          </w:tcPr>
          <w:p w14:paraId="6F45CA4F" w14:textId="0D8DA747" w:rsidR="00864617" w:rsidRPr="00DE3B68" w:rsidRDefault="00864617" w:rsidP="00A82DB9">
            <w:pPr>
              <w:pStyle w:val="ListParagraph"/>
              <w:numPr>
                <w:ilvl w:val="0"/>
                <w:numId w:val="7"/>
              </w:numPr>
              <w:spacing w:line="276" w:lineRule="auto"/>
              <w:ind w:left="157" w:hanging="157"/>
              <w:jc w:val="left"/>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600 MW/year</w:t>
            </w:r>
          </w:p>
        </w:tc>
        <w:tc>
          <w:tcPr>
            <w:tcW w:w="2340" w:type="dxa"/>
            <w:vAlign w:val="center"/>
          </w:tcPr>
          <w:p w14:paraId="0E571275" w14:textId="3B874C3A"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ITC</w:t>
            </w:r>
            <w:r w:rsidR="002B415A">
              <w:rPr>
                <w:sz w:val="20"/>
                <w:szCs w:val="20"/>
              </w:rPr>
              <w:t xml:space="preserve"> (48E)</w:t>
            </w:r>
          </w:p>
          <w:p w14:paraId="3D6BC6CE" w14:textId="5AC66A7B"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 xml:space="preserve">Tech: </w:t>
            </w:r>
            <w:r w:rsidR="00CC6799" w:rsidRPr="00DE3B68">
              <w:rPr>
                <w:sz w:val="20"/>
                <w:szCs w:val="20"/>
              </w:rPr>
              <w:t>P</w:t>
            </w:r>
            <w:r w:rsidRPr="00DE3B68">
              <w:rPr>
                <w:sz w:val="20"/>
                <w:szCs w:val="20"/>
              </w:rPr>
              <w:t>lanning horizon</w:t>
            </w:r>
          </w:p>
          <w:p w14:paraId="6AB69E6E" w14:textId="1D8910C7"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IRA 2045: COD b</w:t>
            </w:r>
            <w:r w:rsidR="00DA3008">
              <w:rPr>
                <w:sz w:val="20"/>
                <w:szCs w:val="20"/>
              </w:rPr>
              <w:t>y</w:t>
            </w:r>
            <w:r w:rsidRPr="00DE3B68">
              <w:rPr>
                <w:sz w:val="20"/>
                <w:szCs w:val="20"/>
              </w:rPr>
              <w:t xml:space="preserve"> 2053</w:t>
            </w:r>
          </w:p>
          <w:p w14:paraId="636F2DBC" w14:textId="41618B5F" w:rsidR="00864617" w:rsidRPr="00DE3B68" w:rsidRDefault="00864617" w:rsidP="00A82DB9">
            <w:pPr>
              <w:spacing w:line="276"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DE3B68">
              <w:rPr>
                <w:sz w:val="20"/>
                <w:szCs w:val="20"/>
              </w:rPr>
              <w:t>IRA 2035: COD b</w:t>
            </w:r>
            <w:r w:rsidR="00DA3008">
              <w:rPr>
                <w:sz w:val="20"/>
                <w:szCs w:val="20"/>
              </w:rPr>
              <w:t>y</w:t>
            </w:r>
            <w:r w:rsidRPr="00DE3B68">
              <w:rPr>
                <w:sz w:val="20"/>
                <w:szCs w:val="20"/>
              </w:rPr>
              <w:t xml:space="preserve"> 2043</w:t>
            </w:r>
          </w:p>
        </w:tc>
      </w:tr>
    </w:tbl>
    <w:p w14:paraId="549D884D" w14:textId="77777777" w:rsidR="00864617" w:rsidRPr="00B54758" w:rsidRDefault="00864617" w:rsidP="00D86E63"/>
    <w:p w14:paraId="191C5F9E" w14:textId="0EE409D8" w:rsidR="00DC440A" w:rsidRPr="00DC440A" w:rsidRDefault="00B54758" w:rsidP="006C1073">
      <w:pPr>
        <w:pStyle w:val="Heading4"/>
      </w:pPr>
      <w:r w:rsidRPr="00B54758">
        <w:t xml:space="preserve">Natural </w:t>
      </w:r>
      <w:r w:rsidRPr="006C1073">
        <w:t>Gas</w:t>
      </w:r>
      <w:r w:rsidRPr="00B54758">
        <w:t xml:space="preserve"> Combined Cycle (NGCC</w:t>
      </w:r>
      <w:r>
        <w:t xml:space="preserve"> or CC</w:t>
      </w:r>
      <w:r w:rsidRPr="00B54758">
        <w:t>) </w:t>
      </w:r>
    </w:p>
    <w:p w14:paraId="7836F0EA" w14:textId="231A0B28" w:rsidR="004A37C8" w:rsidRDefault="00B54758" w:rsidP="00D86E63">
      <w:r w:rsidRPr="00B54758">
        <w:t xml:space="preserve">The Company’s current assumption for planning purposes is that </w:t>
      </w:r>
      <w:r w:rsidR="00514966">
        <w:t xml:space="preserve">new </w:t>
      </w:r>
      <w:r w:rsidR="00685670">
        <w:t>NG</w:t>
      </w:r>
      <w:r w:rsidRPr="00B54758">
        <w:t>CC plants without carbon capture facilities are available for fleet expansion beginning in 20</w:t>
      </w:r>
      <w:r>
        <w:t>29</w:t>
      </w:r>
      <w:r w:rsidR="00041A43">
        <w:t>.</w:t>
      </w:r>
      <w:r w:rsidRPr="00B54758">
        <w:t xml:space="preserve"> </w:t>
      </w:r>
      <w:r w:rsidR="00FD6EF0">
        <w:t xml:space="preserve">Based on varying </w:t>
      </w:r>
      <w:r w:rsidR="004C5F9D">
        <w:t xml:space="preserve">greenhouse gas pressure views, </w:t>
      </w:r>
      <w:r w:rsidR="00514966">
        <w:t xml:space="preserve">new </w:t>
      </w:r>
      <w:r w:rsidR="00685670">
        <w:t>NG</w:t>
      </w:r>
      <w:r w:rsidR="00005F28">
        <w:t>CC plants are</w:t>
      </w:r>
      <w:r w:rsidRPr="00B54758">
        <w:t xml:space="preserve"> </w:t>
      </w:r>
      <w:r w:rsidR="004C5F9D">
        <w:t xml:space="preserve">required to capture at least 90% of their </w:t>
      </w:r>
      <w:r w:rsidR="004C5F9D" w:rsidRPr="004C5F9D">
        <w:t>CO</w:t>
      </w:r>
      <w:r w:rsidR="004C5F9D" w:rsidRPr="004C5F9D">
        <w:rPr>
          <w:vertAlign w:val="subscript"/>
        </w:rPr>
        <w:t>2</w:t>
      </w:r>
      <w:r w:rsidR="004C5F9D">
        <w:t xml:space="preserve"> </w:t>
      </w:r>
      <w:r w:rsidR="00B81394">
        <w:t>emissions, therefore requiring the addition of CCS</w:t>
      </w:r>
      <w:r w:rsidR="00153E39">
        <w:t xml:space="preserve"> by various dates</w:t>
      </w:r>
      <w:r w:rsidR="00BF725E">
        <w:t xml:space="preserve">. This corresponds to </w:t>
      </w:r>
      <w:r w:rsidR="008E0DA3">
        <w:t xml:space="preserve">the </w:t>
      </w:r>
      <w:r w:rsidR="008E0DA3" w:rsidRPr="008E0DA3">
        <w:rPr>
          <w:i/>
          <w:iCs/>
        </w:rPr>
        <w:t>Lower</w:t>
      </w:r>
      <w:r w:rsidR="008E0DA3">
        <w:rPr>
          <w:i/>
          <w:iCs/>
        </w:rPr>
        <w:t xml:space="preserve"> </w:t>
      </w:r>
      <w:r w:rsidR="008E0DA3">
        <w:t xml:space="preserve">view </w:t>
      </w:r>
      <w:r w:rsidR="005438AA">
        <w:t>requir</w:t>
      </w:r>
      <w:r w:rsidR="00153E39">
        <w:t>ing</w:t>
      </w:r>
      <w:r w:rsidR="005438AA">
        <w:t xml:space="preserve"> CCS in 2040, the </w:t>
      </w:r>
      <w:r w:rsidR="005438AA">
        <w:rPr>
          <w:i/>
          <w:iCs/>
        </w:rPr>
        <w:t xml:space="preserve">Moderate </w:t>
      </w:r>
      <w:r w:rsidR="005438AA">
        <w:t xml:space="preserve">and </w:t>
      </w:r>
      <w:r w:rsidR="005438AA">
        <w:rPr>
          <w:i/>
          <w:iCs/>
        </w:rPr>
        <w:t xml:space="preserve">Higher </w:t>
      </w:r>
      <w:r w:rsidR="005438AA">
        <w:t>view</w:t>
      </w:r>
      <w:r w:rsidR="00153E39">
        <w:t>s</w:t>
      </w:r>
      <w:r w:rsidR="005438AA">
        <w:t xml:space="preserve"> requir</w:t>
      </w:r>
      <w:r w:rsidR="00153E39">
        <w:t>ing</w:t>
      </w:r>
      <w:r w:rsidR="005438AA">
        <w:t xml:space="preserve"> CCS in 2037, and the </w:t>
      </w:r>
      <w:proofErr w:type="gramStart"/>
      <w:r w:rsidR="005438AA">
        <w:rPr>
          <w:i/>
          <w:iCs/>
        </w:rPr>
        <w:t xml:space="preserve">111 </w:t>
      </w:r>
      <w:r w:rsidR="005438AA">
        <w:t>view</w:t>
      </w:r>
      <w:proofErr w:type="gramEnd"/>
      <w:r w:rsidR="005438AA">
        <w:t xml:space="preserve"> requir</w:t>
      </w:r>
      <w:r w:rsidR="00153E39">
        <w:t>ing</w:t>
      </w:r>
      <w:r w:rsidR="005438AA">
        <w:t xml:space="preserve"> </w:t>
      </w:r>
      <w:r w:rsidR="00A40A5F">
        <w:t xml:space="preserve">either CCS in 2032 or </w:t>
      </w:r>
      <w:r w:rsidR="00883330">
        <w:t xml:space="preserve">that </w:t>
      </w:r>
      <w:r w:rsidR="00514966">
        <w:t xml:space="preserve">new </w:t>
      </w:r>
      <w:r w:rsidR="00685670">
        <w:t>NG</w:t>
      </w:r>
      <w:r w:rsidR="00A40A5F">
        <w:t>CC</w:t>
      </w:r>
      <w:r w:rsidR="00C06A79">
        <w:t xml:space="preserve"> plants</w:t>
      </w:r>
      <w:r w:rsidR="00514966">
        <w:t xml:space="preserve"> without CCS</w:t>
      </w:r>
      <w:r w:rsidR="00A40A5F">
        <w:t xml:space="preserve"> be limited to a 40% capacity factor</w:t>
      </w:r>
      <w:r w:rsidR="00791DC6">
        <w:t xml:space="preserve"> beginning in 2032</w:t>
      </w:r>
      <w:r w:rsidR="00153E39">
        <w:t xml:space="preserve"> through the planning horizon</w:t>
      </w:r>
      <w:r w:rsidR="00A40A5F">
        <w:t xml:space="preserve">. </w:t>
      </w:r>
      <w:r w:rsidRPr="00B54758">
        <w:t>The timing of this requirement is based on the Company’s understanding of the existing Clean Air Act and its statutory schedule for review of abatement technologies and requirements (</w:t>
      </w:r>
      <w:r w:rsidR="0038440D">
        <w:t xml:space="preserve">i.e., </w:t>
      </w:r>
      <w:r w:rsidRPr="00B54758">
        <w:t xml:space="preserve">New Source Performance Standards and Best Available Control Technology). </w:t>
      </w:r>
    </w:p>
    <w:p w14:paraId="39F58C0C" w14:textId="7D1A01F9" w:rsidR="00B54758" w:rsidRDefault="00B54758" w:rsidP="00D86E63">
      <w:r w:rsidRPr="00B54758">
        <w:t xml:space="preserve">The Company assumes that </w:t>
      </w:r>
      <w:r w:rsidR="00C17795">
        <w:t>NG</w:t>
      </w:r>
      <w:r w:rsidRPr="00B54758">
        <w:t xml:space="preserve">CC with CCS that enters commercial operation </w:t>
      </w:r>
      <w:r w:rsidR="00045FA3">
        <w:t>prior to 2039</w:t>
      </w:r>
      <w:r w:rsidRPr="00B54758">
        <w:t xml:space="preserve"> will receive the 45Q tax credit for each ton of </w:t>
      </w:r>
      <w:r w:rsidR="00443DDB">
        <w:t>CO</w:t>
      </w:r>
      <w:r w:rsidR="00443DDB" w:rsidRPr="00443DDB">
        <w:rPr>
          <w:vertAlign w:val="subscript"/>
        </w:rPr>
        <w:t>2</w:t>
      </w:r>
      <w:r w:rsidRPr="00B54758">
        <w:t xml:space="preserve"> that is captured and stored during the first 12 years of operation. The cost and performance characteristics assumed for the </w:t>
      </w:r>
      <w:r w:rsidR="00C17795">
        <w:t>NG</w:t>
      </w:r>
      <w:r w:rsidRPr="00B54758">
        <w:t>CC</w:t>
      </w:r>
      <w:r w:rsidR="00402215">
        <w:t xml:space="preserve"> with </w:t>
      </w:r>
      <w:r w:rsidRPr="00B54758">
        <w:t>CCS technology are a proxy for various forms of efficient gas-fueled technologies that separate their CO</w:t>
      </w:r>
      <w:r w:rsidRPr="00B54758">
        <w:rPr>
          <w:vertAlign w:val="subscript"/>
        </w:rPr>
        <w:t>2</w:t>
      </w:r>
      <w:r w:rsidRPr="00B54758">
        <w:t xml:space="preserve"> for disposal, including post-combustion capture and supercritical CO</w:t>
      </w:r>
      <w:r w:rsidRPr="00B54758">
        <w:rPr>
          <w:vertAlign w:val="subscript"/>
        </w:rPr>
        <w:t>2</w:t>
      </w:r>
      <w:r w:rsidRPr="00B54758">
        <w:t xml:space="preserve"> (Allam cycle). The geology for CO</w:t>
      </w:r>
      <w:r w:rsidRPr="00B54758">
        <w:rPr>
          <w:vertAlign w:val="subscript"/>
        </w:rPr>
        <w:t>2</w:t>
      </w:r>
      <w:r w:rsidRPr="00B54758">
        <w:t xml:space="preserve"> storage is not uniform across the </w:t>
      </w:r>
      <w:r w:rsidR="0012054F">
        <w:t>System</w:t>
      </w:r>
      <w:r w:rsidRPr="00B54758">
        <w:t xml:space="preserve">’s territory. </w:t>
      </w:r>
      <w:r w:rsidR="004F2C0B">
        <w:t>For t</w:t>
      </w:r>
      <w:r w:rsidRPr="00B54758">
        <w:t xml:space="preserve">he </w:t>
      </w:r>
      <w:r w:rsidR="004F2C0B">
        <w:t>System modeling analysis, it is</w:t>
      </w:r>
      <w:r w:rsidR="004F2C0B" w:rsidRPr="00B54758">
        <w:t xml:space="preserve"> </w:t>
      </w:r>
      <w:r w:rsidRPr="00B54758">
        <w:t>assume</w:t>
      </w:r>
      <w:r w:rsidR="004F2C0B">
        <w:t>d</w:t>
      </w:r>
      <w:r w:rsidRPr="00B54758">
        <w:t xml:space="preserve"> that </w:t>
      </w:r>
      <w:r w:rsidR="00B30DC9" w:rsidRPr="00B30DC9">
        <w:rPr>
          <w:b/>
          <w:bCs/>
          <w:sz w:val="8"/>
          <w:szCs w:val="8"/>
        </w:rPr>
        <w:t>REDACTED</w:t>
      </w:r>
      <w:r w:rsidR="00B30DC9">
        <w:t xml:space="preserve"> </w:t>
      </w:r>
      <w:proofErr w:type="spellStart"/>
      <w:r w:rsidR="00B30DC9" w:rsidRPr="00B30DC9">
        <w:rPr>
          <w:b/>
          <w:bCs/>
          <w:sz w:val="8"/>
          <w:szCs w:val="8"/>
        </w:rPr>
        <w:t>REDACTED</w:t>
      </w:r>
      <w:proofErr w:type="spellEnd"/>
      <w:r w:rsidR="00B30DC9" w:rsidRPr="00B54758">
        <w:t xml:space="preserve"> </w:t>
      </w:r>
      <w:r w:rsidRPr="00B54758">
        <w:t xml:space="preserve">of </w:t>
      </w:r>
      <w:r w:rsidR="00C17795">
        <w:t>NG</w:t>
      </w:r>
      <w:r w:rsidRPr="00B54758">
        <w:t xml:space="preserve">CC with CCS could be </w:t>
      </w:r>
      <w:r w:rsidR="009E4712">
        <w:t>sited near</w:t>
      </w:r>
      <w:r w:rsidRPr="00B54758">
        <w:t xml:space="preserve"> “local” </w:t>
      </w:r>
      <w:r w:rsidR="0053192D">
        <w:t xml:space="preserve">sequestration </w:t>
      </w:r>
      <w:r w:rsidR="00D3369A">
        <w:t>sites</w:t>
      </w:r>
      <w:r w:rsidRPr="00B54758">
        <w:t xml:space="preserve">; additional </w:t>
      </w:r>
      <w:r w:rsidR="00C17795">
        <w:t>NG</w:t>
      </w:r>
      <w:r w:rsidRPr="00B54758">
        <w:t>CC with CCS would require a longer (and more expensive) pipeline to transport the captured CO</w:t>
      </w:r>
      <w:r w:rsidRPr="00B54758">
        <w:rPr>
          <w:vertAlign w:val="subscript"/>
        </w:rPr>
        <w:t>2</w:t>
      </w:r>
      <w:r w:rsidRPr="00B54758">
        <w:t xml:space="preserve"> for more distant </w:t>
      </w:r>
      <w:r w:rsidR="0053192D">
        <w:t>sequestration sites</w:t>
      </w:r>
      <w:r w:rsidRPr="00B54758">
        <w:t>.</w:t>
      </w:r>
      <w:r w:rsidR="00B916BB">
        <w:t xml:space="preserve"> NG</w:t>
      </w:r>
      <w:r w:rsidR="00B916BB" w:rsidRPr="00B54758">
        <w:t>CC is limited by FT availability</w:t>
      </w:r>
      <w:r w:rsidR="00B916BB">
        <w:t xml:space="preserve"> as further described in Section 3.6.3</w:t>
      </w:r>
      <w:r w:rsidR="00B916BB" w:rsidRPr="00B54758">
        <w:t>.</w:t>
      </w:r>
    </w:p>
    <w:p w14:paraId="1C0A874C" w14:textId="19B770C0" w:rsidR="00B54758" w:rsidRPr="00B54758" w:rsidRDefault="00B54758" w:rsidP="006C1073">
      <w:pPr>
        <w:pStyle w:val="Heading4"/>
      </w:pPr>
      <w:r w:rsidRPr="00B54758">
        <w:t>Natural Gas Combustion Turbines (NGCT</w:t>
      </w:r>
      <w:r w:rsidR="00A76742">
        <w:t xml:space="preserve"> or CT</w:t>
      </w:r>
      <w:r w:rsidRPr="00B54758">
        <w:t>) </w:t>
      </w:r>
    </w:p>
    <w:p w14:paraId="5AF52767" w14:textId="5227F9AB" w:rsidR="00B54758" w:rsidRDefault="00B54758" w:rsidP="00D86E63">
      <w:r w:rsidRPr="00B54758">
        <w:t xml:space="preserve">The Company’s current assumption for planning purposes is that dual-fuel </w:t>
      </w:r>
      <w:r w:rsidR="0022215E">
        <w:t xml:space="preserve">CTs </w:t>
      </w:r>
      <w:r w:rsidRPr="00B54758">
        <w:t>with SCR are available for fleet expansion beginning in 2029 and are assumed to operate on oil in the winter months and natural gas in all other months. C</w:t>
      </w:r>
      <w:r w:rsidR="0022215E">
        <w:t>ombustion turbine</w:t>
      </w:r>
      <w:r w:rsidRPr="00B54758">
        <w:t>s must significantly reduce their NO</w:t>
      </w:r>
      <w:r w:rsidRPr="00B54758">
        <w:rPr>
          <w:vertAlign w:val="subscript"/>
        </w:rPr>
        <w:t>x</w:t>
      </w:r>
      <w:r w:rsidRPr="00B54758">
        <w:t xml:space="preserve"> emissions by being </w:t>
      </w:r>
      <w:r w:rsidR="0060091B">
        <w:t>equipped</w:t>
      </w:r>
      <w:r w:rsidR="0060091B" w:rsidRPr="00B54758">
        <w:t xml:space="preserve"> </w:t>
      </w:r>
      <w:r w:rsidRPr="00B54758">
        <w:t>with a SCR device. This assumption is consistent with recent deployments of this technology across the industry and the Company’s understanding of the existing Clean Air Act and its statutory requirements for review of abatement technologies and requirements.</w:t>
      </w:r>
    </w:p>
    <w:p w14:paraId="29E4546E" w14:textId="2BFA8AF0" w:rsidR="00B54758" w:rsidRPr="00B54758" w:rsidRDefault="00B54758" w:rsidP="006C1073">
      <w:pPr>
        <w:pStyle w:val="Heading4"/>
      </w:pPr>
      <w:r w:rsidRPr="00B54758">
        <w:lastRenderedPageBreak/>
        <w:t>Solar PV </w:t>
      </w:r>
    </w:p>
    <w:p w14:paraId="3787B7DC" w14:textId="47AB5A32" w:rsidR="00B54758" w:rsidRDefault="00B54758" w:rsidP="00D86E63">
      <w:r w:rsidRPr="00B54758">
        <w:t xml:space="preserve">Solar PV with single-axis tracking is available as an expansion resource beginning in 2028. The Company’s view is that the cost of solar will continue to decline in real terms, meaning it will become increasingly cost-effective through the study timeframe. The Company assumes that solar will receive clean electricity </w:t>
      </w:r>
      <w:r w:rsidR="0042716B">
        <w:t>PTCs</w:t>
      </w:r>
      <w:r w:rsidRPr="00B54758">
        <w:t xml:space="preserve"> for 10 years as provided in the IRA. In scenarios adopting the </w:t>
      </w:r>
      <w:r w:rsidRPr="00B54758">
        <w:rPr>
          <w:i/>
          <w:iCs/>
        </w:rPr>
        <w:t>Lower</w:t>
      </w:r>
      <w:r w:rsidRPr="00B54758">
        <w:t xml:space="preserve"> view of future CO</w:t>
      </w:r>
      <w:r w:rsidRPr="00B54758">
        <w:rPr>
          <w:vertAlign w:val="subscript"/>
        </w:rPr>
        <w:t>2</w:t>
      </w:r>
      <w:r w:rsidRPr="00B54758">
        <w:t xml:space="preserve"> pressure, the </w:t>
      </w:r>
      <w:r w:rsidR="008A3B98">
        <w:t>PTCs</w:t>
      </w:r>
      <w:r w:rsidRPr="00B54758">
        <w:t xml:space="preserve"> are assumed to be available for solar installed at any time in the modeling horizon; in other scenarios the credits are assumed to be available for solar whose construction starts by 2045 (scenarios adopting the </w:t>
      </w:r>
      <w:r w:rsidRPr="00B54758">
        <w:rPr>
          <w:i/>
          <w:iCs/>
        </w:rPr>
        <w:t>Moderate</w:t>
      </w:r>
      <w:r w:rsidRPr="00B54758">
        <w:t xml:space="preserve"> or </w:t>
      </w:r>
      <w:r w:rsidRPr="00B54758">
        <w:rPr>
          <w:i/>
          <w:iCs/>
        </w:rPr>
        <w:t>Emissions Limit</w:t>
      </w:r>
      <w:r w:rsidRPr="00B54758">
        <w:t xml:space="preserve"> views of future CO</w:t>
      </w:r>
      <w:r w:rsidRPr="00B54758">
        <w:rPr>
          <w:vertAlign w:val="subscript"/>
        </w:rPr>
        <w:t>2</w:t>
      </w:r>
      <w:r w:rsidRPr="00B54758">
        <w:t xml:space="preserve"> pressure) or by 2035 (scenarios adopting the </w:t>
      </w:r>
      <w:r w:rsidRPr="00B54758">
        <w:rPr>
          <w:i/>
          <w:iCs/>
        </w:rPr>
        <w:t>Higher</w:t>
      </w:r>
      <w:r w:rsidRPr="00B54758">
        <w:t xml:space="preserve"> view of future CO</w:t>
      </w:r>
      <w:r w:rsidRPr="00B54758">
        <w:rPr>
          <w:vertAlign w:val="subscript"/>
        </w:rPr>
        <w:t>2</w:t>
      </w:r>
      <w:r w:rsidRPr="00B54758">
        <w:t xml:space="preserve"> pressure). Solar is limited to 1.5 GW per year (including planned and committed solar)</w:t>
      </w:r>
      <w:r w:rsidR="00A76742" w:rsidRPr="00A76742">
        <w:t>.</w:t>
      </w:r>
    </w:p>
    <w:p w14:paraId="6CA539BA" w14:textId="1F073799" w:rsidR="00B54758" w:rsidRPr="00B54758" w:rsidRDefault="00B54758" w:rsidP="006C1073">
      <w:pPr>
        <w:pStyle w:val="Heading4"/>
      </w:pPr>
      <w:r w:rsidRPr="00B54758">
        <w:t>Wind </w:t>
      </w:r>
    </w:p>
    <w:p w14:paraId="19A4875D" w14:textId="1371000F" w:rsidR="00B54758" w:rsidRPr="00B54758" w:rsidRDefault="00B54758" w:rsidP="00D86E63">
      <w:r w:rsidRPr="00B54758">
        <w:t xml:space="preserve">Wind is available as an expansion resource beginning in 2033. The Company assumes that wind will receive clean electricity </w:t>
      </w:r>
      <w:r w:rsidR="00C70500">
        <w:t>PTCs</w:t>
      </w:r>
      <w:r w:rsidRPr="00B54758">
        <w:t xml:space="preserve"> for 10 years as provided in the IRA. In scenarios adopting the </w:t>
      </w:r>
      <w:r w:rsidRPr="00B54758">
        <w:rPr>
          <w:i/>
          <w:iCs/>
        </w:rPr>
        <w:t>Lower</w:t>
      </w:r>
      <w:r w:rsidRPr="00B54758">
        <w:t xml:space="preserve"> view of future CO</w:t>
      </w:r>
      <w:r w:rsidRPr="00B54758">
        <w:rPr>
          <w:vertAlign w:val="subscript"/>
        </w:rPr>
        <w:t>2</w:t>
      </w:r>
      <w:r w:rsidRPr="00B54758">
        <w:t xml:space="preserve"> pressure, the </w:t>
      </w:r>
      <w:r w:rsidR="0035776C">
        <w:t>PTCs</w:t>
      </w:r>
      <w:r w:rsidRPr="00B54758">
        <w:t xml:space="preserve"> are assumed to be available for wind installed at any time in the modeling horizon; in other scenarios the credits are assumed to be available for solar whose construction starts by 2045 (scenarios adopting the </w:t>
      </w:r>
      <w:r w:rsidRPr="00B54758">
        <w:rPr>
          <w:i/>
          <w:iCs/>
        </w:rPr>
        <w:t>Moderate</w:t>
      </w:r>
      <w:r w:rsidRPr="00B54758">
        <w:t xml:space="preserve"> or </w:t>
      </w:r>
      <w:r w:rsidRPr="00B54758">
        <w:rPr>
          <w:i/>
          <w:iCs/>
        </w:rPr>
        <w:t>Emissions Limit</w:t>
      </w:r>
      <w:r w:rsidRPr="00B54758">
        <w:t xml:space="preserve"> views of future CO</w:t>
      </w:r>
      <w:r w:rsidRPr="00B54758">
        <w:rPr>
          <w:vertAlign w:val="subscript"/>
        </w:rPr>
        <w:t>2</w:t>
      </w:r>
      <w:r w:rsidRPr="00B54758">
        <w:t xml:space="preserve"> pressure) or by 2035 (scenarios adopting the </w:t>
      </w:r>
      <w:r w:rsidRPr="00B54758">
        <w:rPr>
          <w:i/>
          <w:iCs/>
        </w:rPr>
        <w:t>Higher</w:t>
      </w:r>
      <w:r w:rsidRPr="00B54758">
        <w:t xml:space="preserve"> view of future CO</w:t>
      </w:r>
      <w:r w:rsidRPr="00B54758">
        <w:rPr>
          <w:vertAlign w:val="subscript"/>
        </w:rPr>
        <w:t>2</w:t>
      </w:r>
      <w:r w:rsidRPr="00B54758">
        <w:t xml:space="preserve"> pressure). Wind is limited to 0.3 GW per year and 4.5 GW total during the modeling horizon. </w:t>
      </w:r>
    </w:p>
    <w:p w14:paraId="57E9B8C0" w14:textId="6FE475BD" w:rsidR="00B54758" w:rsidRPr="00B54758" w:rsidRDefault="00A37095" w:rsidP="006C1073">
      <w:pPr>
        <w:pStyle w:val="Heading4"/>
      </w:pPr>
      <w:r>
        <w:t>Battery</w:t>
      </w:r>
      <w:r w:rsidR="00B54758" w:rsidRPr="00B54758">
        <w:t xml:space="preserve"> Energy Storage </w:t>
      </w:r>
      <w:r>
        <w:t>System</w:t>
      </w:r>
      <w:r w:rsidR="00B54758" w:rsidRPr="00B54758">
        <w:t xml:space="preserve"> (4-hour option) </w:t>
      </w:r>
    </w:p>
    <w:p w14:paraId="3C617FE8" w14:textId="1A16C2A0" w:rsidR="00B54758" w:rsidRDefault="00B54758" w:rsidP="00D86E63">
      <w:r w:rsidRPr="00B54758">
        <w:t xml:space="preserve">Battery </w:t>
      </w:r>
      <w:r w:rsidR="005534FC">
        <w:t>Energy</w:t>
      </w:r>
      <w:r w:rsidRPr="00B54758">
        <w:t xml:space="preserve"> </w:t>
      </w:r>
      <w:r w:rsidR="005534FC">
        <w:t>S</w:t>
      </w:r>
      <w:r w:rsidRPr="00B54758">
        <w:t>torage</w:t>
      </w:r>
      <w:r w:rsidR="005534FC">
        <w:t xml:space="preserve"> System</w:t>
      </w:r>
      <w:r w:rsidR="00935B69">
        <w:t xml:space="preserve"> (“BESS”)</w:t>
      </w:r>
      <w:r w:rsidRPr="00B54758">
        <w:t xml:space="preserve"> is available as an expansion resource beginning in 2028. The Company’s view is that </w:t>
      </w:r>
      <w:r w:rsidR="00FE6BC6">
        <w:t>BESS</w:t>
      </w:r>
      <w:r w:rsidR="00FE6BC6" w:rsidRPr="00B54758">
        <w:t xml:space="preserve"> </w:t>
      </w:r>
      <w:r w:rsidRPr="00B54758">
        <w:t xml:space="preserve">costs will continue to decline into the middle of the planning horizon, before leveling off in real terms, meaning that it will become increasingly cost-effective throughout the study timeframe. The Company assumes that </w:t>
      </w:r>
      <w:r w:rsidR="00FE6BC6">
        <w:t>BESS</w:t>
      </w:r>
      <w:r w:rsidRPr="00B54758">
        <w:t xml:space="preserve"> will receive the </w:t>
      </w:r>
      <w:r w:rsidR="0035776C">
        <w:t>ITCs</w:t>
      </w:r>
      <w:r w:rsidRPr="00B54758">
        <w:t xml:space="preserve"> as provided in the IRA. In scenarios adopting the </w:t>
      </w:r>
      <w:r w:rsidRPr="00B54758">
        <w:rPr>
          <w:i/>
          <w:iCs/>
        </w:rPr>
        <w:t>Lower</w:t>
      </w:r>
      <w:r w:rsidRPr="00B54758">
        <w:t xml:space="preserve"> view of future CO</w:t>
      </w:r>
      <w:r w:rsidRPr="00B54758">
        <w:rPr>
          <w:vertAlign w:val="subscript"/>
        </w:rPr>
        <w:t>2</w:t>
      </w:r>
      <w:r w:rsidRPr="00B54758">
        <w:t xml:space="preserve"> pressure, the </w:t>
      </w:r>
      <w:r w:rsidR="0035776C">
        <w:t>ITCs</w:t>
      </w:r>
      <w:r w:rsidRPr="00B54758">
        <w:t xml:space="preserve"> are assumed to be available for </w:t>
      </w:r>
      <w:r w:rsidR="008D02B7">
        <w:t>BESS</w:t>
      </w:r>
      <w:r w:rsidRPr="00B54758">
        <w:t xml:space="preserve"> installed at any time in the modeling horizon; in other scenarios the credits are assumed to be available for </w:t>
      </w:r>
      <w:r w:rsidR="008D02B7">
        <w:t>BESS</w:t>
      </w:r>
      <w:r w:rsidRPr="00B54758">
        <w:t xml:space="preserve"> whose construction starts by 2045 (scenarios adopting the </w:t>
      </w:r>
      <w:r w:rsidRPr="00B54758">
        <w:rPr>
          <w:i/>
          <w:iCs/>
        </w:rPr>
        <w:t>Moderate</w:t>
      </w:r>
      <w:r w:rsidRPr="00B54758">
        <w:t xml:space="preserve"> or </w:t>
      </w:r>
      <w:r w:rsidRPr="00B54758">
        <w:rPr>
          <w:i/>
          <w:iCs/>
        </w:rPr>
        <w:t>Emissions Limit</w:t>
      </w:r>
      <w:r w:rsidRPr="00B54758">
        <w:t xml:space="preserve"> views of future CO</w:t>
      </w:r>
      <w:r w:rsidRPr="00B54758">
        <w:rPr>
          <w:vertAlign w:val="subscript"/>
        </w:rPr>
        <w:t>2</w:t>
      </w:r>
      <w:r w:rsidRPr="00B54758">
        <w:t xml:space="preserve"> pressure) or by 2035 (scenarios adopting the </w:t>
      </w:r>
      <w:r w:rsidRPr="00B54758">
        <w:rPr>
          <w:i/>
          <w:iCs/>
        </w:rPr>
        <w:t>Higher</w:t>
      </w:r>
      <w:r w:rsidRPr="00B54758">
        <w:t xml:space="preserve"> view of future CO</w:t>
      </w:r>
      <w:r w:rsidRPr="00B54758">
        <w:rPr>
          <w:vertAlign w:val="subscript"/>
        </w:rPr>
        <w:t>2</w:t>
      </w:r>
      <w:r w:rsidRPr="00B54758">
        <w:t xml:space="preserve"> pressure). </w:t>
      </w:r>
      <w:r w:rsidR="008D02B7">
        <w:t>BESS</w:t>
      </w:r>
      <w:r w:rsidRPr="00B54758">
        <w:t xml:space="preserve"> is limited to 3 GW per year. The capacity contribution of </w:t>
      </w:r>
      <w:r w:rsidR="00874ADA">
        <w:t xml:space="preserve">incremental </w:t>
      </w:r>
      <w:r w:rsidR="00B95C83">
        <w:t>BESS</w:t>
      </w:r>
      <w:r w:rsidRPr="00B54758">
        <w:t xml:space="preserve"> installations </w:t>
      </w:r>
      <w:r w:rsidR="00B95C83">
        <w:t xml:space="preserve">decreases </w:t>
      </w:r>
      <w:r w:rsidR="00D36EB3">
        <w:t xml:space="preserve">as </w:t>
      </w:r>
      <w:r w:rsidR="00D74221">
        <w:t>more</w:t>
      </w:r>
      <w:r w:rsidR="00D36EB3">
        <w:t xml:space="preserve"> BESS </w:t>
      </w:r>
      <w:r w:rsidR="00D74221">
        <w:t>is added</w:t>
      </w:r>
      <w:r w:rsidR="00BA4F77">
        <w:t xml:space="preserve"> to the resource mix</w:t>
      </w:r>
      <w:r w:rsidRPr="00B54758">
        <w:t>.</w:t>
      </w:r>
    </w:p>
    <w:p w14:paraId="0374BF2D" w14:textId="08F68828" w:rsidR="00B54758" w:rsidRPr="00B54758" w:rsidRDefault="00B54758" w:rsidP="006C1073">
      <w:pPr>
        <w:pStyle w:val="Heading4"/>
      </w:pPr>
      <w:r w:rsidRPr="00B54758">
        <w:lastRenderedPageBreak/>
        <w:t xml:space="preserve">Medium Duration Energy Storage </w:t>
      </w:r>
      <w:r w:rsidR="00D30ABB">
        <w:t xml:space="preserve">System </w:t>
      </w:r>
      <w:r w:rsidRPr="00B54758">
        <w:t>(12-hour option) </w:t>
      </w:r>
    </w:p>
    <w:p w14:paraId="0ED3C949" w14:textId="4C4E4462" w:rsidR="00671D77" w:rsidRPr="00671D77" w:rsidRDefault="00B54758" w:rsidP="00D86E63">
      <w:r w:rsidRPr="00B54758">
        <w:t>Medium Duration Energy Storage</w:t>
      </w:r>
      <w:r w:rsidR="007F54E8">
        <w:t xml:space="preserve"> System</w:t>
      </w:r>
      <w:r w:rsidRPr="00B54758">
        <w:t xml:space="preserve"> (“MDESS”) is available as an expansion resource beginning in 2033. The modeled cost and performance of MDESS is a proxy for either pumped thermal energy storage or compressed air energy storage (</w:t>
      </w:r>
      <w:r w:rsidR="00D04043">
        <w:t>“</w:t>
      </w:r>
      <w:r w:rsidRPr="00B54758">
        <w:t>CAES</w:t>
      </w:r>
      <w:r w:rsidR="00D04043">
        <w:t>”</w:t>
      </w:r>
      <w:r w:rsidRPr="00B54758">
        <w:t xml:space="preserve">). The Company assumes that MDESS will receive the </w:t>
      </w:r>
      <w:r w:rsidR="0035776C">
        <w:t>ITCs</w:t>
      </w:r>
      <w:r w:rsidRPr="00B54758">
        <w:t xml:space="preserve"> as provided in the IRA. In scenarios adopting the </w:t>
      </w:r>
      <w:r w:rsidRPr="00B54758">
        <w:rPr>
          <w:i/>
          <w:iCs/>
        </w:rPr>
        <w:t>Lower</w:t>
      </w:r>
      <w:r w:rsidRPr="00B54758">
        <w:t xml:space="preserve"> view of future CO</w:t>
      </w:r>
      <w:r w:rsidRPr="00B54758">
        <w:rPr>
          <w:vertAlign w:val="subscript"/>
        </w:rPr>
        <w:t>2</w:t>
      </w:r>
      <w:r w:rsidRPr="00B54758">
        <w:t xml:space="preserve"> pressure, the </w:t>
      </w:r>
      <w:r w:rsidR="0035776C">
        <w:t>ITCs</w:t>
      </w:r>
      <w:r w:rsidRPr="00B54758">
        <w:t xml:space="preserve"> are assumed to be available for MDESS installed at any time in the modeling horizon; in other scenarios the credits are assumed to be available for battery storage whose construction starts by 2045 (scenarios adopting the </w:t>
      </w:r>
      <w:r w:rsidRPr="00B54758">
        <w:rPr>
          <w:i/>
          <w:iCs/>
        </w:rPr>
        <w:t>Moderate</w:t>
      </w:r>
      <w:r w:rsidRPr="00B54758">
        <w:t xml:space="preserve"> or </w:t>
      </w:r>
      <w:r w:rsidRPr="00B54758">
        <w:rPr>
          <w:i/>
          <w:iCs/>
        </w:rPr>
        <w:t>Emissions Limit</w:t>
      </w:r>
      <w:r w:rsidRPr="00B54758">
        <w:t xml:space="preserve"> views of future CO</w:t>
      </w:r>
      <w:r w:rsidRPr="00B54758">
        <w:rPr>
          <w:vertAlign w:val="subscript"/>
        </w:rPr>
        <w:t>2</w:t>
      </w:r>
      <w:r w:rsidRPr="00B54758">
        <w:t xml:space="preserve"> pressure) or by 2035 (scenarios adopting the </w:t>
      </w:r>
      <w:r w:rsidRPr="00B54758">
        <w:rPr>
          <w:i/>
          <w:iCs/>
        </w:rPr>
        <w:t>Higher</w:t>
      </w:r>
      <w:r w:rsidRPr="00B54758">
        <w:t xml:space="preserve"> view of future CO</w:t>
      </w:r>
      <w:r w:rsidRPr="00B54758">
        <w:rPr>
          <w:vertAlign w:val="subscript"/>
        </w:rPr>
        <w:t>2</w:t>
      </w:r>
      <w:r w:rsidRPr="00B54758">
        <w:t xml:space="preserve"> pressure).  </w:t>
      </w:r>
      <w:r w:rsidR="00494D3E">
        <w:t>Build limits have not been applied to MDESS</w:t>
      </w:r>
      <w:r w:rsidR="002C291C">
        <w:t xml:space="preserve"> in the modeling study</w:t>
      </w:r>
      <w:r w:rsidR="00494D3E">
        <w:t xml:space="preserve">.  </w:t>
      </w:r>
      <w:r w:rsidR="00B5085C">
        <w:t xml:space="preserve"> </w:t>
      </w:r>
    </w:p>
    <w:p w14:paraId="692213EE" w14:textId="77777777" w:rsidR="00B54758" w:rsidRPr="00B54758" w:rsidRDefault="00B54758" w:rsidP="006C1073">
      <w:pPr>
        <w:pStyle w:val="Heading4"/>
      </w:pPr>
      <w:r w:rsidRPr="00B54758">
        <w:t>Nuclear </w:t>
      </w:r>
    </w:p>
    <w:p w14:paraId="5B639269" w14:textId="04F40F67" w:rsidR="00B54758" w:rsidRPr="00B54758" w:rsidRDefault="00B54758" w:rsidP="00D86E63">
      <w:r w:rsidRPr="00B54758">
        <w:t xml:space="preserve">Nuclear units (AP-1000) are available as an expansion resource beginning in 2037. The Company assumes that nuclear units will receive the </w:t>
      </w:r>
      <w:r w:rsidR="0035776C">
        <w:t>ITCs</w:t>
      </w:r>
      <w:r w:rsidRPr="00B54758">
        <w:t xml:space="preserve"> as provided in the IRA. In scenarios adopting the </w:t>
      </w:r>
      <w:r w:rsidRPr="00B54758">
        <w:rPr>
          <w:i/>
          <w:iCs/>
        </w:rPr>
        <w:t>Lower</w:t>
      </w:r>
      <w:r w:rsidRPr="00B54758">
        <w:t xml:space="preserve"> view of future CO</w:t>
      </w:r>
      <w:r w:rsidRPr="00B54758">
        <w:rPr>
          <w:vertAlign w:val="subscript"/>
        </w:rPr>
        <w:t>2</w:t>
      </w:r>
      <w:r w:rsidRPr="00B54758">
        <w:t xml:space="preserve"> pressure, the </w:t>
      </w:r>
      <w:r w:rsidR="0035776C">
        <w:t>ITCs</w:t>
      </w:r>
      <w:r w:rsidRPr="00B54758">
        <w:t xml:space="preserve"> are assumed to be available for nuclear installed at any time in the modeling horizon; in other scenarios the credits are assumed to be available for nuclear units whose construction starts by 2045 (scenarios adopting the </w:t>
      </w:r>
      <w:r w:rsidRPr="00B54758">
        <w:rPr>
          <w:i/>
          <w:iCs/>
        </w:rPr>
        <w:t>Moderate</w:t>
      </w:r>
      <w:r w:rsidRPr="00B54758">
        <w:t xml:space="preserve"> or </w:t>
      </w:r>
      <w:r w:rsidRPr="00B54758">
        <w:rPr>
          <w:i/>
          <w:iCs/>
        </w:rPr>
        <w:t>Emissions Limit</w:t>
      </w:r>
      <w:r w:rsidRPr="00B54758">
        <w:t xml:space="preserve"> views of future CO</w:t>
      </w:r>
      <w:r w:rsidRPr="00B54758">
        <w:rPr>
          <w:vertAlign w:val="subscript"/>
        </w:rPr>
        <w:t>2</w:t>
      </w:r>
      <w:r w:rsidRPr="00B54758">
        <w:t xml:space="preserve"> pressure) or by 2035 (scenarios adopting the </w:t>
      </w:r>
      <w:r w:rsidRPr="00B54758">
        <w:rPr>
          <w:i/>
          <w:iCs/>
        </w:rPr>
        <w:t>Higher</w:t>
      </w:r>
      <w:r w:rsidRPr="00B54758">
        <w:t xml:space="preserve"> view of future CO</w:t>
      </w:r>
      <w:r w:rsidRPr="00B54758">
        <w:rPr>
          <w:vertAlign w:val="subscript"/>
        </w:rPr>
        <w:t>2</w:t>
      </w:r>
      <w:r w:rsidRPr="00B54758">
        <w:t xml:space="preserve"> pressure). Nuclear is limited to 0.6 GW per year.</w:t>
      </w:r>
    </w:p>
    <w:p w14:paraId="110505F4" w14:textId="5213776D" w:rsidR="00B54758" w:rsidRDefault="00B54758" w:rsidP="00D86E63">
      <w:r w:rsidRPr="00B54758">
        <w:t>The cost estimates for each of the natural gas, storage, solar, wind, and nuclear technology options were developed based on proprietary sources of information. Current estimates for costs, spending curves, emissions, and operating characteristics for these resources are contained in the Technology Screening and Applications Standards in Technical Appendix Volume</w:t>
      </w:r>
      <w:r w:rsidR="005B2F7F">
        <w:t> </w:t>
      </w:r>
      <w:r w:rsidR="00F93D4D">
        <w:t>2</w:t>
      </w:r>
      <w:r w:rsidRPr="00B54758">
        <w:t>. </w:t>
      </w:r>
    </w:p>
    <w:p w14:paraId="748310FA" w14:textId="3D265DD2" w:rsidR="00671D77" w:rsidRDefault="00671D77" w:rsidP="00D86E63">
      <w:pPr>
        <w:pStyle w:val="Heading3"/>
      </w:pPr>
      <w:bookmarkStart w:id="18" w:name="_Toc188405632"/>
      <w:r>
        <w:t>3.6.2 Generic Unit Costs and Performance</w:t>
      </w:r>
      <w:bookmarkEnd w:id="18"/>
    </w:p>
    <w:p w14:paraId="43C9D912" w14:textId="1F078AD8" w:rsidR="00671D77" w:rsidRDefault="00671D77" w:rsidP="00D86E63">
      <w:r>
        <w:t xml:space="preserve">Table </w:t>
      </w:r>
      <w:r w:rsidR="00244D8E">
        <w:t>5</w:t>
      </w:r>
      <w:r>
        <w:t xml:space="preserve"> shows the technology assumptions for the candidate units offered in the 2025 IRP Resource Mix Study</w:t>
      </w:r>
      <w:r w:rsidR="00AD3C51">
        <w:t>.</w:t>
      </w:r>
    </w:p>
    <w:p w14:paraId="76FC9741" w14:textId="77777777" w:rsidR="008E6D18" w:rsidRDefault="008E6D18" w:rsidP="00D86E63"/>
    <w:p w14:paraId="078241E3" w14:textId="77777777" w:rsidR="00CE61E6" w:rsidRDefault="00CE61E6" w:rsidP="00D86E63">
      <w:pPr>
        <w:sectPr w:rsidR="00CE61E6" w:rsidSect="004A5B7F">
          <w:headerReference w:type="default" r:id="rId28"/>
          <w:footerReference w:type="first" r:id="rId29"/>
          <w:type w:val="continuous"/>
          <w:pgSz w:w="12240" w:h="15840"/>
          <w:pgMar w:top="1440" w:right="1440" w:bottom="1440" w:left="1440" w:header="720" w:footer="720" w:gutter="0"/>
          <w:pgNumType w:start="1"/>
          <w:cols w:space="720"/>
          <w:titlePg/>
          <w:docGrid w:linePitch="360"/>
        </w:sectPr>
      </w:pPr>
    </w:p>
    <w:p w14:paraId="790AC9DF" w14:textId="28CA2CAF" w:rsidR="00C10DAE" w:rsidRDefault="00C10DAE" w:rsidP="00A65265">
      <w:pPr>
        <w:pStyle w:val="Caption"/>
      </w:pPr>
      <w:r>
        <w:lastRenderedPageBreak/>
        <w:t>Table</w:t>
      </w:r>
      <w:r w:rsidR="00825A18">
        <w:t xml:space="preserve"> </w:t>
      </w:r>
      <w:r w:rsidR="00776620">
        <w:rPr>
          <w:noProof/>
        </w:rPr>
        <w:t>5</w:t>
      </w:r>
      <w:r>
        <w:t>: B2025 Technology Cost and Performance Summary</w:t>
      </w:r>
    </w:p>
    <w:tbl>
      <w:tblPr>
        <w:tblW w:w="1332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14" w:type="dxa"/>
        </w:tblCellMar>
        <w:tblLook w:val="04A0" w:firstRow="1" w:lastRow="0" w:firstColumn="1" w:lastColumn="0" w:noHBand="0" w:noVBand="1"/>
      </w:tblPr>
      <w:tblGrid>
        <w:gridCol w:w="2334"/>
        <w:gridCol w:w="1386"/>
        <w:gridCol w:w="1890"/>
        <w:gridCol w:w="1080"/>
        <w:gridCol w:w="1080"/>
        <w:gridCol w:w="1050"/>
        <w:gridCol w:w="1250"/>
        <w:gridCol w:w="1334"/>
        <w:gridCol w:w="1084"/>
        <w:gridCol w:w="834"/>
      </w:tblGrid>
      <w:tr w:rsidR="00191358" w:rsidRPr="00745E4C" w14:paraId="60031778" w14:textId="77777777" w:rsidTr="004048F1">
        <w:trPr>
          <w:trHeight w:val="288"/>
          <w:tblHeader/>
          <w:jc w:val="center"/>
        </w:trPr>
        <w:tc>
          <w:tcPr>
            <w:tcW w:w="2334" w:type="dxa"/>
            <w:shd w:val="clear" w:color="auto" w:fill="007DB9"/>
            <w:noWrap/>
            <w:vAlign w:val="center"/>
            <w:hideMark/>
          </w:tcPr>
          <w:p w14:paraId="1FE1B661" w14:textId="77777777" w:rsidR="00191358" w:rsidRPr="00AA1475" w:rsidRDefault="00191358" w:rsidP="00AA1475">
            <w:pPr>
              <w:jc w:val="center"/>
              <w:rPr>
                <w:b/>
                <w:bCs/>
                <w:color w:val="FFFFFF" w:themeColor="background1"/>
              </w:rPr>
            </w:pPr>
            <w:bookmarkStart w:id="19" w:name="RANGE!C5:L19"/>
            <w:r w:rsidRPr="00AA1475">
              <w:rPr>
                <w:b/>
                <w:bCs/>
                <w:color w:val="FFFFFF" w:themeColor="background1"/>
              </w:rPr>
              <w:t>Technology</w:t>
            </w:r>
            <w:bookmarkEnd w:id="19"/>
          </w:p>
        </w:tc>
        <w:tc>
          <w:tcPr>
            <w:tcW w:w="1386" w:type="dxa"/>
            <w:shd w:val="clear" w:color="auto" w:fill="007DB9"/>
            <w:vAlign w:val="center"/>
            <w:hideMark/>
          </w:tcPr>
          <w:p w14:paraId="311E69B3" w14:textId="15EEB1F3" w:rsidR="00191358" w:rsidRPr="00AA1475" w:rsidRDefault="00191358" w:rsidP="00AA1475">
            <w:pPr>
              <w:jc w:val="center"/>
              <w:rPr>
                <w:b/>
                <w:bCs/>
                <w:color w:val="FFFFFF" w:themeColor="background1"/>
              </w:rPr>
            </w:pPr>
            <w:r w:rsidRPr="00AA1475">
              <w:rPr>
                <w:b/>
                <w:bCs/>
                <w:color w:val="FFFFFF" w:themeColor="background1"/>
              </w:rPr>
              <w:t>Winter</w:t>
            </w:r>
            <w:r w:rsidRPr="00AA1475">
              <w:rPr>
                <w:b/>
                <w:bCs/>
                <w:color w:val="FFFFFF" w:themeColor="background1"/>
              </w:rPr>
              <w:br/>
              <w:t>Capacity (MW)</w:t>
            </w:r>
          </w:p>
        </w:tc>
        <w:tc>
          <w:tcPr>
            <w:tcW w:w="1890" w:type="dxa"/>
            <w:shd w:val="clear" w:color="auto" w:fill="007DB9"/>
            <w:vAlign w:val="center"/>
            <w:hideMark/>
          </w:tcPr>
          <w:p w14:paraId="76C9D649" w14:textId="1D90D816" w:rsidR="00191358" w:rsidRPr="00AA1475" w:rsidRDefault="00191358" w:rsidP="00AA1475">
            <w:pPr>
              <w:jc w:val="center"/>
              <w:rPr>
                <w:b/>
                <w:bCs/>
                <w:color w:val="FFFFFF" w:themeColor="background1"/>
              </w:rPr>
            </w:pPr>
            <w:r w:rsidRPr="00AA1475">
              <w:rPr>
                <w:b/>
                <w:bCs/>
                <w:color w:val="FFFFFF" w:themeColor="background1"/>
              </w:rPr>
              <w:t>ELCC</w:t>
            </w:r>
          </w:p>
        </w:tc>
        <w:tc>
          <w:tcPr>
            <w:tcW w:w="1080" w:type="dxa"/>
            <w:shd w:val="clear" w:color="auto" w:fill="007DB9"/>
            <w:vAlign w:val="center"/>
            <w:hideMark/>
          </w:tcPr>
          <w:p w14:paraId="382E9BB1" w14:textId="77777777" w:rsidR="00191358" w:rsidRPr="00AA1475" w:rsidRDefault="00191358" w:rsidP="00AA1475">
            <w:pPr>
              <w:jc w:val="center"/>
              <w:rPr>
                <w:b/>
                <w:bCs/>
                <w:color w:val="FFFFFF" w:themeColor="background1"/>
              </w:rPr>
            </w:pPr>
            <w:r w:rsidRPr="00AA1475">
              <w:rPr>
                <w:b/>
                <w:bCs/>
                <w:color w:val="FFFFFF" w:themeColor="background1"/>
              </w:rPr>
              <w:t>Average Heat Rate</w:t>
            </w:r>
            <w:r w:rsidRPr="00AA1475">
              <w:rPr>
                <w:b/>
                <w:bCs/>
                <w:color w:val="FFFFFF" w:themeColor="background1"/>
              </w:rPr>
              <w:br/>
              <w:t>(Btu/</w:t>
            </w:r>
            <w:r w:rsidRPr="00AA1475">
              <w:rPr>
                <w:b/>
                <w:bCs/>
                <w:color w:val="FFFFFF" w:themeColor="background1"/>
              </w:rPr>
              <w:br/>
              <w:t>kWh)</w:t>
            </w:r>
          </w:p>
        </w:tc>
        <w:tc>
          <w:tcPr>
            <w:tcW w:w="1080" w:type="dxa"/>
            <w:shd w:val="clear" w:color="auto" w:fill="007DB9"/>
            <w:vAlign w:val="center"/>
            <w:hideMark/>
          </w:tcPr>
          <w:p w14:paraId="6F17A1CD" w14:textId="77777777" w:rsidR="00191358" w:rsidRPr="00AA1475" w:rsidRDefault="00191358" w:rsidP="00AA1475">
            <w:pPr>
              <w:jc w:val="center"/>
              <w:rPr>
                <w:b/>
                <w:bCs/>
                <w:color w:val="FFFFFF" w:themeColor="background1"/>
              </w:rPr>
            </w:pPr>
            <w:r w:rsidRPr="00AA1475">
              <w:rPr>
                <w:b/>
                <w:bCs/>
                <w:color w:val="FFFFFF" w:themeColor="background1"/>
              </w:rPr>
              <w:t>Round Trip Efficiency</w:t>
            </w:r>
          </w:p>
        </w:tc>
        <w:tc>
          <w:tcPr>
            <w:tcW w:w="1050" w:type="dxa"/>
            <w:shd w:val="clear" w:color="auto" w:fill="007DB9"/>
            <w:vAlign w:val="center"/>
            <w:hideMark/>
          </w:tcPr>
          <w:p w14:paraId="78A720C4" w14:textId="77777777" w:rsidR="00191358" w:rsidRPr="00AA1475" w:rsidRDefault="00191358" w:rsidP="00AA1475">
            <w:pPr>
              <w:jc w:val="center"/>
              <w:rPr>
                <w:b/>
                <w:bCs/>
                <w:color w:val="FFFFFF" w:themeColor="background1"/>
              </w:rPr>
            </w:pPr>
            <w:r w:rsidRPr="00AA1475">
              <w:rPr>
                <w:b/>
                <w:bCs/>
                <w:color w:val="FFFFFF" w:themeColor="background1"/>
              </w:rPr>
              <w:t>Fixed Capacity Factor</w:t>
            </w:r>
          </w:p>
        </w:tc>
        <w:tc>
          <w:tcPr>
            <w:tcW w:w="1250" w:type="dxa"/>
            <w:shd w:val="clear" w:color="auto" w:fill="007DB9"/>
            <w:vAlign w:val="center"/>
            <w:hideMark/>
          </w:tcPr>
          <w:p w14:paraId="3EA1039A" w14:textId="4F017DF3" w:rsidR="00191358" w:rsidRPr="00AA1475" w:rsidRDefault="00191358" w:rsidP="00AA1475">
            <w:pPr>
              <w:jc w:val="center"/>
              <w:rPr>
                <w:b/>
                <w:bCs/>
                <w:color w:val="FFFFFF" w:themeColor="background1"/>
              </w:rPr>
            </w:pPr>
            <w:r w:rsidRPr="00AA1475">
              <w:rPr>
                <w:b/>
                <w:bCs/>
                <w:color w:val="FFFFFF" w:themeColor="background1"/>
              </w:rPr>
              <w:t>Overnight Cost</w:t>
            </w:r>
            <w:r w:rsidRPr="00AA1475">
              <w:rPr>
                <w:b/>
                <w:bCs/>
                <w:color w:val="FFFFFF" w:themeColor="background1"/>
              </w:rPr>
              <w:br/>
              <w:t>(202</w:t>
            </w:r>
            <w:r>
              <w:rPr>
                <w:b/>
                <w:bCs/>
                <w:color w:val="FFFFFF" w:themeColor="background1"/>
              </w:rPr>
              <w:t>4</w:t>
            </w:r>
            <w:r w:rsidRPr="00AA1475">
              <w:rPr>
                <w:b/>
                <w:bCs/>
                <w:color w:val="FFFFFF" w:themeColor="background1"/>
              </w:rPr>
              <w:t>$/</w:t>
            </w:r>
            <w:r w:rsidRPr="00AA1475">
              <w:rPr>
                <w:b/>
                <w:bCs/>
                <w:color w:val="FFFFFF" w:themeColor="background1"/>
              </w:rPr>
              <w:br/>
              <w:t>kW)</w:t>
            </w:r>
          </w:p>
        </w:tc>
        <w:tc>
          <w:tcPr>
            <w:tcW w:w="1334" w:type="dxa"/>
            <w:shd w:val="clear" w:color="auto" w:fill="007DB9"/>
            <w:vAlign w:val="center"/>
            <w:hideMark/>
          </w:tcPr>
          <w:p w14:paraId="42140349" w14:textId="0749A879" w:rsidR="00191358" w:rsidRPr="00AA1475" w:rsidRDefault="00191358" w:rsidP="00AA1475">
            <w:pPr>
              <w:jc w:val="center"/>
              <w:rPr>
                <w:b/>
                <w:bCs/>
                <w:color w:val="FFFFFF" w:themeColor="background1"/>
              </w:rPr>
            </w:pPr>
            <w:r w:rsidRPr="00AA1475">
              <w:rPr>
                <w:b/>
                <w:bCs/>
                <w:color w:val="FFFFFF" w:themeColor="background1"/>
              </w:rPr>
              <w:t>Recurring Fixed Cost</w:t>
            </w:r>
            <w:r w:rsidRPr="00AA1475">
              <w:rPr>
                <w:rStyle w:val="FootnoteReference"/>
                <w:rFonts w:cstheme="minorHAnsi"/>
                <w:b/>
                <w:bCs/>
                <w:color w:val="FFFFFF" w:themeColor="background1"/>
                <w:sz w:val="18"/>
                <w:szCs w:val="18"/>
              </w:rPr>
              <w:footnoteReference w:id="3"/>
            </w:r>
            <w:r w:rsidRPr="00AA1475">
              <w:rPr>
                <w:b/>
                <w:bCs/>
                <w:color w:val="FFFFFF" w:themeColor="background1"/>
              </w:rPr>
              <w:br/>
              <w:t>(202</w:t>
            </w:r>
            <w:r>
              <w:rPr>
                <w:b/>
                <w:bCs/>
                <w:color w:val="FFFFFF" w:themeColor="background1"/>
              </w:rPr>
              <w:t>4</w:t>
            </w:r>
            <w:r w:rsidRPr="00AA1475">
              <w:rPr>
                <w:b/>
                <w:bCs/>
                <w:color w:val="FFFFFF" w:themeColor="background1"/>
              </w:rPr>
              <w:t>$/</w:t>
            </w:r>
            <w:r w:rsidRPr="00AA1475">
              <w:rPr>
                <w:b/>
                <w:bCs/>
                <w:color w:val="FFFFFF" w:themeColor="background1"/>
              </w:rPr>
              <w:br/>
              <w:t>kW-yr)</w:t>
            </w:r>
          </w:p>
        </w:tc>
        <w:tc>
          <w:tcPr>
            <w:tcW w:w="1084" w:type="dxa"/>
            <w:shd w:val="clear" w:color="auto" w:fill="007DB9"/>
            <w:vAlign w:val="center"/>
            <w:hideMark/>
          </w:tcPr>
          <w:p w14:paraId="14CEE748" w14:textId="0684A1B4" w:rsidR="00191358" w:rsidRPr="00AA1475" w:rsidRDefault="00191358" w:rsidP="00AA1475">
            <w:pPr>
              <w:jc w:val="center"/>
              <w:rPr>
                <w:b/>
                <w:bCs/>
                <w:color w:val="FFFFFF" w:themeColor="background1"/>
              </w:rPr>
            </w:pPr>
            <w:r w:rsidRPr="00AA1475">
              <w:rPr>
                <w:b/>
                <w:bCs/>
                <w:color w:val="FFFFFF" w:themeColor="background1"/>
              </w:rPr>
              <w:t>Variable O&amp;M</w:t>
            </w:r>
            <w:r w:rsidRPr="00AA1475">
              <w:rPr>
                <w:b/>
                <w:bCs/>
                <w:color w:val="FFFFFF" w:themeColor="background1"/>
              </w:rPr>
              <w:br/>
              <w:t>($/MWh)</w:t>
            </w:r>
          </w:p>
        </w:tc>
        <w:tc>
          <w:tcPr>
            <w:tcW w:w="834" w:type="dxa"/>
            <w:shd w:val="clear" w:color="auto" w:fill="007DB9"/>
            <w:vAlign w:val="center"/>
            <w:hideMark/>
          </w:tcPr>
          <w:p w14:paraId="608B6DE0" w14:textId="77777777" w:rsidR="00191358" w:rsidRPr="00AA1475" w:rsidRDefault="00191358" w:rsidP="00AA1475">
            <w:pPr>
              <w:jc w:val="center"/>
              <w:rPr>
                <w:b/>
                <w:bCs/>
                <w:color w:val="FFFFFF" w:themeColor="background1"/>
              </w:rPr>
            </w:pPr>
            <w:r w:rsidRPr="00AA1475">
              <w:rPr>
                <w:b/>
                <w:bCs/>
                <w:color w:val="FFFFFF" w:themeColor="background1"/>
              </w:rPr>
              <w:t>Asset Life</w:t>
            </w:r>
            <w:r w:rsidRPr="00AA1475">
              <w:rPr>
                <w:b/>
                <w:bCs/>
                <w:color w:val="FFFFFF" w:themeColor="background1"/>
              </w:rPr>
              <w:br/>
              <w:t>(Yrs)</w:t>
            </w:r>
          </w:p>
        </w:tc>
      </w:tr>
      <w:tr w:rsidR="00191358" w:rsidRPr="002F5ED6" w14:paraId="228742E5" w14:textId="77777777" w:rsidTr="004048F1">
        <w:trPr>
          <w:trHeight w:val="288"/>
          <w:jc w:val="center"/>
        </w:trPr>
        <w:tc>
          <w:tcPr>
            <w:tcW w:w="2334" w:type="dxa"/>
            <w:shd w:val="clear" w:color="auto" w:fill="auto"/>
            <w:vAlign w:val="center"/>
            <w:hideMark/>
          </w:tcPr>
          <w:p w14:paraId="71A8426A" w14:textId="7F53599B" w:rsidR="00191358" w:rsidRPr="00A1701E" w:rsidRDefault="00DC041D" w:rsidP="00AA1475">
            <w:pPr>
              <w:jc w:val="center"/>
            </w:pPr>
            <w:r>
              <w:t xml:space="preserve">Natural Gas </w:t>
            </w:r>
            <w:r w:rsidR="00191358" w:rsidRPr="00A1701E">
              <w:t>Combined Cycle (</w:t>
            </w:r>
            <w:r>
              <w:t>NG</w:t>
            </w:r>
            <w:r w:rsidR="00191358" w:rsidRPr="00A1701E">
              <w:t>CC)</w:t>
            </w:r>
          </w:p>
        </w:tc>
        <w:tc>
          <w:tcPr>
            <w:tcW w:w="1386" w:type="dxa"/>
            <w:shd w:val="clear" w:color="auto" w:fill="auto"/>
            <w:noWrap/>
            <w:vAlign w:val="center"/>
            <w:hideMark/>
          </w:tcPr>
          <w:p w14:paraId="5F08C4F5" w14:textId="11A302F4" w:rsidR="00191358" w:rsidRPr="00DA6ADD" w:rsidRDefault="00DA6ADD" w:rsidP="00AA1475">
            <w:pPr>
              <w:jc w:val="center"/>
              <w:rPr>
                <w:b/>
                <w:bCs/>
                <w:highlight w:val="yellow"/>
              </w:rPr>
            </w:pPr>
            <w:r w:rsidRPr="00DA6ADD">
              <w:rPr>
                <w:b/>
                <w:bCs/>
              </w:rPr>
              <w:t>REDACTED</w:t>
            </w:r>
          </w:p>
        </w:tc>
        <w:tc>
          <w:tcPr>
            <w:tcW w:w="1890" w:type="dxa"/>
            <w:shd w:val="clear" w:color="auto" w:fill="auto"/>
            <w:noWrap/>
            <w:vAlign w:val="center"/>
            <w:hideMark/>
          </w:tcPr>
          <w:p w14:paraId="6E78CCEF" w14:textId="77777777" w:rsidR="00191358" w:rsidRPr="00E62540" w:rsidRDefault="00191358" w:rsidP="00AA1475">
            <w:pPr>
              <w:jc w:val="center"/>
            </w:pPr>
            <w:r w:rsidRPr="00E62540">
              <w:t>100%</w:t>
            </w:r>
          </w:p>
        </w:tc>
        <w:tc>
          <w:tcPr>
            <w:tcW w:w="1080" w:type="dxa"/>
            <w:shd w:val="clear" w:color="auto" w:fill="auto"/>
            <w:noWrap/>
            <w:vAlign w:val="center"/>
            <w:hideMark/>
          </w:tcPr>
          <w:p w14:paraId="2B5AD62D" w14:textId="46123E0C" w:rsidR="00191358" w:rsidRPr="00A1701E" w:rsidRDefault="00DA6ADD" w:rsidP="00AA1475">
            <w:pPr>
              <w:jc w:val="center"/>
              <w:rPr>
                <w:highlight w:val="yellow"/>
              </w:rPr>
            </w:pPr>
            <w:r w:rsidRPr="00DA6ADD">
              <w:rPr>
                <w:b/>
                <w:bCs/>
                <w:sz w:val="20"/>
                <w:szCs w:val="20"/>
              </w:rPr>
              <w:t>REDACTED</w:t>
            </w:r>
          </w:p>
        </w:tc>
        <w:tc>
          <w:tcPr>
            <w:tcW w:w="1080" w:type="dxa"/>
            <w:shd w:val="clear" w:color="auto" w:fill="DBDBDB"/>
            <w:noWrap/>
            <w:vAlign w:val="center"/>
            <w:hideMark/>
          </w:tcPr>
          <w:p w14:paraId="56D73ECF" w14:textId="43B46252" w:rsidR="00191358" w:rsidRPr="00A1701E" w:rsidRDefault="00191358" w:rsidP="00AA1475">
            <w:pPr>
              <w:jc w:val="center"/>
            </w:pPr>
          </w:p>
        </w:tc>
        <w:tc>
          <w:tcPr>
            <w:tcW w:w="1050" w:type="dxa"/>
            <w:shd w:val="clear" w:color="auto" w:fill="DBDBDB"/>
            <w:noWrap/>
            <w:vAlign w:val="center"/>
            <w:hideMark/>
          </w:tcPr>
          <w:p w14:paraId="1A916976" w14:textId="7A2CB682" w:rsidR="00191358" w:rsidRPr="00A1701E" w:rsidRDefault="00191358" w:rsidP="00AA1475">
            <w:pPr>
              <w:jc w:val="center"/>
            </w:pPr>
          </w:p>
        </w:tc>
        <w:tc>
          <w:tcPr>
            <w:tcW w:w="1250" w:type="dxa"/>
            <w:shd w:val="clear" w:color="auto" w:fill="auto"/>
            <w:noWrap/>
            <w:vAlign w:val="center"/>
            <w:hideMark/>
          </w:tcPr>
          <w:p w14:paraId="57879AAC" w14:textId="213DEA48" w:rsidR="00191358" w:rsidRPr="00A1701E" w:rsidRDefault="00DA6ADD" w:rsidP="00AA1475">
            <w:pPr>
              <w:jc w:val="center"/>
              <w:rPr>
                <w:highlight w:val="yellow"/>
              </w:rPr>
            </w:pPr>
            <w:r w:rsidRPr="00DA6ADD">
              <w:rPr>
                <w:b/>
                <w:bCs/>
              </w:rPr>
              <w:t>REDACTED</w:t>
            </w:r>
          </w:p>
        </w:tc>
        <w:tc>
          <w:tcPr>
            <w:tcW w:w="1334" w:type="dxa"/>
            <w:shd w:val="clear" w:color="auto" w:fill="auto"/>
            <w:noWrap/>
            <w:vAlign w:val="center"/>
            <w:hideMark/>
          </w:tcPr>
          <w:p w14:paraId="0845AB47" w14:textId="4F0AF501" w:rsidR="00191358" w:rsidRPr="00E9710A" w:rsidRDefault="00DA6ADD" w:rsidP="00AA1475">
            <w:pPr>
              <w:jc w:val="center"/>
              <w:rPr>
                <w:highlight w:val="yellow"/>
              </w:rPr>
            </w:pPr>
            <w:r w:rsidRPr="00DA6ADD">
              <w:rPr>
                <w:b/>
                <w:bCs/>
              </w:rPr>
              <w:t>REDACTED</w:t>
            </w:r>
          </w:p>
        </w:tc>
        <w:tc>
          <w:tcPr>
            <w:tcW w:w="1084" w:type="dxa"/>
            <w:shd w:val="clear" w:color="auto" w:fill="auto"/>
            <w:noWrap/>
            <w:vAlign w:val="center"/>
            <w:hideMark/>
          </w:tcPr>
          <w:p w14:paraId="73C880C1" w14:textId="01C8783A" w:rsidR="00191358" w:rsidRPr="00DA6ADD" w:rsidRDefault="00DA6ADD" w:rsidP="00AA1475">
            <w:pPr>
              <w:jc w:val="center"/>
              <w:rPr>
                <w:b/>
                <w:bCs/>
                <w:highlight w:val="yellow"/>
              </w:rPr>
            </w:pPr>
            <w:r w:rsidRPr="00DA6ADD">
              <w:rPr>
                <w:b/>
                <w:bCs/>
                <w:sz w:val="20"/>
                <w:szCs w:val="20"/>
              </w:rPr>
              <w:t>REDACTED</w:t>
            </w:r>
          </w:p>
        </w:tc>
        <w:tc>
          <w:tcPr>
            <w:tcW w:w="834" w:type="dxa"/>
            <w:shd w:val="clear" w:color="auto" w:fill="auto"/>
            <w:noWrap/>
            <w:vAlign w:val="center"/>
            <w:hideMark/>
          </w:tcPr>
          <w:p w14:paraId="6E0074A1" w14:textId="284A56C3" w:rsidR="00191358" w:rsidRPr="00A1701E" w:rsidRDefault="00DA6ADD" w:rsidP="00AA1475">
            <w:pPr>
              <w:jc w:val="center"/>
              <w:rPr>
                <w:highlight w:val="yellow"/>
              </w:rPr>
            </w:pPr>
            <w:r w:rsidRPr="00DA6ADD">
              <w:rPr>
                <w:b/>
                <w:bCs/>
                <w:sz w:val="16"/>
                <w:szCs w:val="16"/>
              </w:rPr>
              <w:t>REDACTED</w:t>
            </w:r>
          </w:p>
        </w:tc>
      </w:tr>
      <w:tr w:rsidR="00191358" w:rsidRPr="002F5ED6" w14:paraId="51A1DD9A" w14:textId="77777777" w:rsidTr="004048F1">
        <w:trPr>
          <w:trHeight w:val="288"/>
          <w:jc w:val="center"/>
        </w:trPr>
        <w:tc>
          <w:tcPr>
            <w:tcW w:w="2334" w:type="dxa"/>
            <w:shd w:val="clear" w:color="auto" w:fill="auto"/>
            <w:vAlign w:val="center"/>
            <w:hideMark/>
          </w:tcPr>
          <w:p w14:paraId="3A1E0F27" w14:textId="6A933CBD" w:rsidR="00191358" w:rsidRPr="00A1701E" w:rsidRDefault="00D2115B" w:rsidP="00AA1475">
            <w:pPr>
              <w:jc w:val="center"/>
            </w:pPr>
            <w:r>
              <w:t>NG</w:t>
            </w:r>
            <w:r w:rsidR="00191358">
              <w:t>CC</w:t>
            </w:r>
            <w:r w:rsidR="00191358" w:rsidRPr="00A1701E">
              <w:t xml:space="preserve"> with </w:t>
            </w:r>
            <w:r w:rsidR="00191358">
              <w:t xml:space="preserve">Local </w:t>
            </w:r>
            <w:r w:rsidR="00191358" w:rsidRPr="00A1701E">
              <w:t>CCS</w:t>
            </w:r>
          </w:p>
        </w:tc>
        <w:tc>
          <w:tcPr>
            <w:tcW w:w="1386" w:type="dxa"/>
            <w:shd w:val="clear" w:color="auto" w:fill="auto"/>
            <w:noWrap/>
            <w:vAlign w:val="center"/>
            <w:hideMark/>
          </w:tcPr>
          <w:p w14:paraId="2E381B58" w14:textId="1A43F092" w:rsidR="00191358" w:rsidRPr="00A1701E" w:rsidRDefault="00DA6ADD" w:rsidP="00AA1475">
            <w:pPr>
              <w:jc w:val="center"/>
              <w:rPr>
                <w:highlight w:val="yellow"/>
              </w:rPr>
            </w:pPr>
            <w:r w:rsidRPr="00DA6ADD">
              <w:rPr>
                <w:b/>
                <w:bCs/>
              </w:rPr>
              <w:t>REDACTED</w:t>
            </w:r>
          </w:p>
        </w:tc>
        <w:tc>
          <w:tcPr>
            <w:tcW w:w="1890" w:type="dxa"/>
            <w:shd w:val="clear" w:color="auto" w:fill="auto"/>
            <w:noWrap/>
            <w:vAlign w:val="center"/>
            <w:hideMark/>
          </w:tcPr>
          <w:p w14:paraId="397DC015" w14:textId="77777777" w:rsidR="00191358" w:rsidRPr="00E62540" w:rsidRDefault="00191358" w:rsidP="00AA1475">
            <w:pPr>
              <w:jc w:val="center"/>
            </w:pPr>
            <w:r w:rsidRPr="00E62540">
              <w:t>100%</w:t>
            </w:r>
          </w:p>
        </w:tc>
        <w:tc>
          <w:tcPr>
            <w:tcW w:w="1080" w:type="dxa"/>
            <w:shd w:val="clear" w:color="auto" w:fill="auto"/>
            <w:noWrap/>
            <w:vAlign w:val="center"/>
            <w:hideMark/>
          </w:tcPr>
          <w:p w14:paraId="283EB98D" w14:textId="071EC198" w:rsidR="00191358" w:rsidRPr="00A1701E" w:rsidRDefault="00DA6ADD" w:rsidP="00AA1475">
            <w:pPr>
              <w:jc w:val="center"/>
              <w:rPr>
                <w:highlight w:val="yellow"/>
              </w:rPr>
            </w:pPr>
            <w:r w:rsidRPr="00DA6ADD">
              <w:rPr>
                <w:b/>
                <w:bCs/>
                <w:sz w:val="20"/>
                <w:szCs w:val="20"/>
              </w:rPr>
              <w:t>REDACTED</w:t>
            </w:r>
          </w:p>
        </w:tc>
        <w:tc>
          <w:tcPr>
            <w:tcW w:w="1080" w:type="dxa"/>
            <w:shd w:val="clear" w:color="auto" w:fill="DBDBDB"/>
            <w:noWrap/>
            <w:vAlign w:val="center"/>
            <w:hideMark/>
          </w:tcPr>
          <w:p w14:paraId="09611A7C" w14:textId="4B96D45A" w:rsidR="00191358" w:rsidRPr="00A1701E" w:rsidRDefault="00191358" w:rsidP="00AA1475">
            <w:pPr>
              <w:jc w:val="center"/>
            </w:pPr>
          </w:p>
        </w:tc>
        <w:tc>
          <w:tcPr>
            <w:tcW w:w="1050" w:type="dxa"/>
            <w:shd w:val="clear" w:color="auto" w:fill="DBDBDB"/>
            <w:noWrap/>
            <w:vAlign w:val="center"/>
            <w:hideMark/>
          </w:tcPr>
          <w:p w14:paraId="6D41CCBA" w14:textId="745D641F" w:rsidR="00191358" w:rsidRPr="00A1701E" w:rsidRDefault="00191358" w:rsidP="00AA1475">
            <w:pPr>
              <w:jc w:val="center"/>
            </w:pPr>
          </w:p>
        </w:tc>
        <w:tc>
          <w:tcPr>
            <w:tcW w:w="1250" w:type="dxa"/>
            <w:shd w:val="clear" w:color="auto" w:fill="auto"/>
            <w:noWrap/>
            <w:vAlign w:val="center"/>
            <w:hideMark/>
          </w:tcPr>
          <w:p w14:paraId="1057F8EE" w14:textId="54D3B8F0" w:rsidR="00191358" w:rsidRPr="00A1701E" w:rsidRDefault="00DA6ADD" w:rsidP="00AA1475">
            <w:pPr>
              <w:jc w:val="center"/>
              <w:rPr>
                <w:highlight w:val="yellow"/>
              </w:rPr>
            </w:pPr>
            <w:r w:rsidRPr="00DA6ADD">
              <w:rPr>
                <w:b/>
                <w:bCs/>
              </w:rPr>
              <w:t>REDACTED</w:t>
            </w:r>
          </w:p>
        </w:tc>
        <w:tc>
          <w:tcPr>
            <w:tcW w:w="1334" w:type="dxa"/>
            <w:shd w:val="clear" w:color="auto" w:fill="auto"/>
            <w:noWrap/>
            <w:vAlign w:val="center"/>
            <w:hideMark/>
          </w:tcPr>
          <w:p w14:paraId="19F57198" w14:textId="4C4C3074" w:rsidR="00191358" w:rsidRPr="00E9710A" w:rsidRDefault="00DA6ADD" w:rsidP="00AA1475">
            <w:pPr>
              <w:jc w:val="center"/>
              <w:rPr>
                <w:highlight w:val="yellow"/>
              </w:rPr>
            </w:pPr>
            <w:r w:rsidRPr="00DA6ADD">
              <w:rPr>
                <w:b/>
                <w:bCs/>
              </w:rPr>
              <w:t>REDACTED</w:t>
            </w:r>
          </w:p>
        </w:tc>
        <w:tc>
          <w:tcPr>
            <w:tcW w:w="1084" w:type="dxa"/>
            <w:shd w:val="clear" w:color="auto" w:fill="auto"/>
            <w:noWrap/>
            <w:vAlign w:val="center"/>
            <w:hideMark/>
          </w:tcPr>
          <w:p w14:paraId="7813915B" w14:textId="67C4C06C" w:rsidR="00191358" w:rsidRPr="00A1701E" w:rsidRDefault="00DA6ADD" w:rsidP="00AA1475">
            <w:pPr>
              <w:jc w:val="center"/>
              <w:rPr>
                <w:highlight w:val="yellow"/>
              </w:rPr>
            </w:pPr>
            <w:r w:rsidRPr="00DA6ADD">
              <w:rPr>
                <w:b/>
                <w:bCs/>
                <w:sz w:val="20"/>
                <w:szCs w:val="20"/>
              </w:rPr>
              <w:t>REDACTED</w:t>
            </w:r>
          </w:p>
        </w:tc>
        <w:tc>
          <w:tcPr>
            <w:tcW w:w="834" w:type="dxa"/>
            <w:shd w:val="clear" w:color="auto" w:fill="auto"/>
            <w:noWrap/>
            <w:vAlign w:val="center"/>
            <w:hideMark/>
          </w:tcPr>
          <w:p w14:paraId="21BC58A8" w14:textId="61D7798B" w:rsidR="00191358" w:rsidRPr="00A1701E" w:rsidRDefault="00DA6ADD" w:rsidP="00AA1475">
            <w:pPr>
              <w:jc w:val="center"/>
              <w:rPr>
                <w:highlight w:val="yellow"/>
              </w:rPr>
            </w:pPr>
            <w:r w:rsidRPr="00DA6ADD">
              <w:rPr>
                <w:b/>
                <w:bCs/>
                <w:sz w:val="16"/>
                <w:szCs w:val="16"/>
              </w:rPr>
              <w:t>REDACTED</w:t>
            </w:r>
          </w:p>
        </w:tc>
      </w:tr>
      <w:tr w:rsidR="00191358" w:rsidRPr="002F5ED6" w14:paraId="255CFC89" w14:textId="77777777" w:rsidTr="004048F1">
        <w:trPr>
          <w:trHeight w:val="288"/>
          <w:jc w:val="center"/>
        </w:trPr>
        <w:tc>
          <w:tcPr>
            <w:tcW w:w="2334" w:type="dxa"/>
            <w:shd w:val="clear" w:color="auto" w:fill="auto"/>
            <w:vAlign w:val="center"/>
          </w:tcPr>
          <w:p w14:paraId="16D7D3D7" w14:textId="7EE235C7" w:rsidR="00191358" w:rsidRPr="00A1701E" w:rsidRDefault="00D2115B" w:rsidP="00505169">
            <w:pPr>
              <w:jc w:val="center"/>
            </w:pPr>
            <w:r>
              <w:t>NG</w:t>
            </w:r>
            <w:r w:rsidR="00191358">
              <w:t>CC</w:t>
            </w:r>
            <w:r w:rsidR="00191358" w:rsidRPr="00A1701E">
              <w:t xml:space="preserve"> </w:t>
            </w:r>
            <w:r w:rsidR="00191358">
              <w:t>with Distant</w:t>
            </w:r>
            <w:r w:rsidR="00191358" w:rsidRPr="00A1701E">
              <w:t xml:space="preserve"> CCS</w:t>
            </w:r>
          </w:p>
        </w:tc>
        <w:tc>
          <w:tcPr>
            <w:tcW w:w="1386" w:type="dxa"/>
            <w:shd w:val="clear" w:color="auto" w:fill="auto"/>
            <w:noWrap/>
            <w:vAlign w:val="center"/>
          </w:tcPr>
          <w:p w14:paraId="70E68A69" w14:textId="71E799D6" w:rsidR="00191358" w:rsidRPr="00A1701E" w:rsidRDefault="00DA6ADD" w:rsidP="00505169">
            <w:pPr>
              <w:jc w:val="center"/>
              <w:rPr>
                <w:highlight w:val="yellow"/>
              </w:rPr>
            </w:pPr>
            <w:r w:rsidRPr="00DA6ADD">
              <w:rPr>
                <w:b/>
                <w:bCs/>
              </w:rPr>
              <w:t>REDACTED</w:t>
            </w:r>
          </w:p>
        </w:tc>
        <w:tc>
          <w:tcPr>
            <w:tcW w:w="1890" w:type="dxa"/>
            <w:shd w:val="clear" w:color="auto" w:fill="auto"/>
            <w:noWrap/>
            <w:vAlign w:val="center"/>
          </w:tcPr>
          <w:p w14:paraId="5758DDE5" w14:textId="2F25D0E2" w:rsidR="00191358" w:rsidRPr="00E62540" w:rsidRDefault="00191358" w:rsidP="00505169">
            <w:pPr>
              <w:jc w:val="center"/>
            </w:pPr>
            <w:r w:rsidRPr="00E62540">
              <w:t>100%</w:t>
            </w:r>
          </w:p>
        </w:tc>
        <w:tc>
          <w:tcPr>
            <w:tcW w:w="1080" w:type="dxa"/>
            <w:shd w:val="clear" w:color="auto" w:fill="auto"/>
            <w:noWrap/>
            <w:vAlign w:val="center"/>
          </w:tcPr>
          <w:p w14:paraId="07458EDC" w14:textId="083BFD26" w:rsidR="00191358" w:rsidRPr="00A1701E" w:rsidRDefault="00DA6ADD" w:rsidP="00505169">
            <w:pPr>
              <w:jc w:val="center"/>
              <w:rPr>
                <w:highlight w:val="yellow"/>
              </w:rPr>
            </w:pPr>
            <w:r w:rsidRPr="00DA6ADD">
              <w:rPr>
                <w:b/>
                <w:bCs/>
                <w:sz w:val="20"/>
                <w:szCs w:val="20"/>
              </w:rPr>
              <w:t>REDACTED</w:t>
            </w:r>
          </w:p>
        </w:tc>
        <w:tc>
          <w:tcPr>
            <w:tcW w:w="1080" w:type="dxa"/>
            <w:shd w:val="clear" w:color="auto" w:fill="DBDBDB"/>
            <w:noWrap/>
            <w:vAlign w:val="center"/>
          </w:tcPr>
          <w:p w14:paraId="12863A48" w14:textId="77777777" w:rsidR="00191358" w:rsidRPr="00A1701E" w:rsidRDefault="00191358" w:rsidP="00505169">
            <w:pPr>
              <w:jc w:val="center"/>
            </w:pPr>
          </w:p>
        </w:tc>
        <w:tc>
          <w:tcPr>
            <w:tcW w:w="1050" w:type="dxa"/>
            <w:shd w:val="clear" w:color="auto" w:fill="DBDBDB"/>
            <w:noWrap/>
            <w:vAlign w:val="center"/>
          </w:tcPr>
          <w:p w14:paraId="4276A403" w14:textId="77777777" w:rsidR="00191358" w:rsidRPr="00A1701E" w:rsidRDefault="00191358" w:rsidP="00505169">
            <w:pPr>
              <w:jc w:val="center"/>
            </w:pPr>
          </w:p>
        </w:tc>
        <w:tc>
          <w:tcPr>
            <w:tcW w:w="1250" w:type="dxa"/>
            <w:shd w:val="clear" w:color="auto" w:fill="auto"/>
            <w:noWrap/>
            <w:vAlign w:val="center"/>
          </w:tcPr>
          <w:p w14:paraId="5C7EE858" w14:textId="6AF78DD1" w:rsidR="00191358" w:rsidRPr="00A1701E" w:rsidRDefault="00DA6ADD" w:rsidP="00505169">
            <w:pPr>
              <w:jc w:val="center"/>
              <w:rPr>
                <w:highlight w:val="yellow"/>
              </w:rPr>
            </w:pPr>
            <w:r w:rsidRPr="00DA6ADD">
              <w:rPr>
                <w:b/>
                <w:bCs/>
              </w:rPr>
              <w:t>REDACTED</w:t>
            </w:r>
          </w:p>
        </w:tc>
        <w:tc>
          <w:tcPr>
            <w:tcW w:w="1334" w:type="dxa"/>
            <w:shd w:val="clear" w:color="auto" w:fill="auto"/>
            <w:noWrap/>
            <w:vAlign w:val="center"/>
          </w:tcPr>
          <w:p w14:paraId="0BA46F55" w14:textId="69374D98" w:rsidR="00191358" w:rsidRPr="00E9710A" w:rsidRDefault="00DA6ADD" w:rsidP="00505169">
            <w:pPr>
              <w:jc w:val="center"/>
              <w:rPr>
                <w:highlight w:val="yellow"/>
              </w:rPr>
            </w:pPr>
            <w:r w:rsidRPr="00DA6ADD">
              <w:rPr>
                <w:b/>
                <w:bCs/>
              </w:rPr>
              <w:t>REDACTED</w:t>
            </w:r>
          </w:p>
        </w:tc>
        <w:tc>
          <w:tcPr>
            <w:tcW w:w="1084" w:type="dxa"/>
            <w:shd w:val="clear" w:color="auto" w:fill="auto"/>
            <w:noWrap/>
            <w:vAlign w:val="center"/>
          </w:tcPr>
          <w:p w14:paraId="3E4FD0EB" w14:textId="412978AF" w:rsidR="00191358" w:rsidRPr="00A1701E" w:rsidRDefault="00DA6ADD" w:rsidP="00505169">
            <w:pPr>
              <w:jc w:val="center"/>
              <w:rPr>
                <w:highlight w:val="yellow"/>
              </w:rPr>
            </w:pPr>
            <w:r w:rsidRPr="00DA6ADD">
              <w:rPr>
                <w:b/>
                <w:bCs/>
                <w:sz w:val="20"/>
                <w:szCs w:val="20"/>
              </w:rPr>
              <w:t>REDACTED</w:t>
            </w:r>
          </w:p>
        </w:tc>
        <w:tc>
          <w:tcPr>
            <w:tcW w:w="834" w:type="dxa"/>
            <w:shd w:val="clear" w:color="auto" w:fill="auto"/>
            <w:noWrap/>
            <w:vAlign w:val="center"/>
          </w:tcPr>
          <w:p w14:paraId="170E9453" w14:textId="02A59F73" w:rsidR="00191358" w:rsidRPr="00A1701E" w:rsidRDefault="00DA6ADD" w:rsidP="00505169">
            <w:pPr>
              <w:jc w:val="center"/>
              <w:rPr>
                <w:highlight w:val="yellow"/>
              </w:rPr>
            </w:pPr>
            <w:r w:rsidRPr="00DA6ADD">
              <w:rPr>
                <w:b/>
                <w:bCs/>
                <w:sz w:val="16"/>
                <w:szCs w:val="16"/>
              </w:rPr>
              <w:t>REDACTED</w:t>
            </w:r>
          </w:p>
        </w:tc>
      </w:tr>
      <w:tr w:rsidR="00191358" w:rsidRPr="002F5ED6" w14:paraId="345F09EE" w14:textId="77777777" w:rsidTr="004048F1">
        <w:trPr>
          <w:trHeight w:val="288"/>
          <w:jc w:val="center"/>
        </w:trPr>
        <w:tc>
          <w:tcPr>
            <w:tcW w:w="2334" w:type="dxa"/>
            <w:shd w:val="clear" w:color="auto" w:fill="auto"/>
            <w:vAlign w:val="center"/>
            <w:hideMark/>
          </w:tcPr>
          <w:p w14:paraId="49BF3C1B" w14:textId="6ED0E7FA" w:rsidR="00191358" w:rsidRPr="00A1701E" w:rsidRDefault="00191358" w:rsidP="00AA1475">
            <w:pPr>
              <w:jc w:val="center"/>
            </w:pPr>
            <w:r w:rsidRPr="00A1701E">
              <w:t xml:space="preserve">Combustion Turbine with </w:t>
            </w:r>
            <w:r>
              <w:t>SCR, Oil Winter</w:t>
            </w:r>
            <w:r w:rsidRPr="00A1701E">
              <w:t xml:space="preserve"> (CT w SCR)</w:t>
            </w:r>
          </w:p>
        </w:tc>
        <w:tc>
          <w:tcPr>
            <w:tcW w:w="1386" w:type="dxa"/>
            <w:shd w:val="clear" w:color="auto" w:fill="auto"/>
            <w:noWrap/>
            <w:vAlign w:val="center"/>
            <w:hideMark/>
          </w:tcPr>
          <w:p w14:paraId="4871A582" w14:textId="3A50215A" w:rsidR="00191358" w:rsidRPr="00A1701E" w:rsidRDefault="00DA6ADD" w:rsidP="00AA1475">
            <w:pPr>
              <w:jc w:val="center"/>
              <w:rPr>
                <w:highlight w:val="yellow"/>
              </w:rPr>
            </w:pPr>
            <w:r w:rsidRPr="00DA6ADD">
              <w:rPr>
                <w:b/>
                <w:bCs/>
              </w:rPr>
              <w:t>REDACTED</w:t>
            </w:r>
          </w:p>
        </w:tc>
        <w:tc>
          <w:tcPr>
            <w:tcW w:w="1890" w:type="dxa"/>
            <w:shd w:val="clear" w:color="auto" w:fill="auto"/>
            <w:noWrap/>
            <w:vAlign w:val="center"/>
            <w:hideMark/>
          </w:tcPr>
          <w:p w14:paraId="4AE753ED" w14:textId="77777777" w:rsidR="00191358" w:rsidRPr="00E62540" w:rsidRDefault="00191358" w:rsidP="00AA1475">
            <w:pPr>
              <w:jc w:val="center"/>
            </w:pPr>
            <w:r w:rsidRPr="00E62540">
              <w:t>100%</w:t>
            </w:r>
          </w:p>
        </w:tc>
        <w:tc>
          <w:tcPr>
            <w:tcW w:w="1080" w:type="dxa"/>
            <w:shd w:val="clear" w:color="auto" w:fill="auto"/>
            <w:noWrap/>
            <w:tcMar>
              <w:right w:w="0" w:type="dxa"/>
            </w:tcMar>
            <w:vAlign w:val="center"/>
            <w:hideMark/>
          </w:tcPr>
          <w:p w14:paraId="278B93ED" w14:textId="2D2E8E48" w:rsidR="00191358" w:rsidRPr="00A1701E" w:rsidRDefault="00DA6ADD" w:rsidP="00AA1475">
            <w:pPr>
              <w:jc w:val="center"/>
              <w:rPr>
                <w:highlight w:val="yellow"/>
              </w:rPr>
            </w:pPr>
            <w:r w:rsidRPr="00DA6ADD">
              <w:rPr>
                <w:b/>
                <w:bCs/>
                <w:sz w:val="20"/>
                <w:szCs w:val="20"/>
              </w:rPr>
              <w:t>REDACTED</w:t>
            </w:r>
          </w:p>
        </w:tc>
        <w:tc>
          <w:tcPr>
            <w:tcW w:w="1080" w:type="dxa"/>
            <w:shd w:val="clear" w:color="auto" w:fill="DBDBDB"/>
            <w:noWrap/>
            <w:vAlign w:val="center"/>
            <w:hideMark/>
          </w:tcPr>
          <w:p w14:paraId="30B6A2FF" w14:textId="3BD3E1F9" w:rsidR="00191358" w:rsidRPr="00A1701E" w:rsidRDefault="00191358" w:rsidP="00AA1475">
            <w:pPr>
              <w:jc w:val="center"/>
            </w:pPr>
          </w:p>
        </w:tc>
        <w:tc>
          <w:tcPr>
            <w:tcW w:w="1050" w:type="dxa"/>
            <w:shd w:val="clear" w:color="auto" w:fill="DBDBDB"/>
            <w:noWrap/>
            <w:vAlign w:val="center"/>
            <w:hideMark/>
          </w:tcPr>
          <w:p w14:paraId="6997D771" w14:textId="4A90DAB5" w:rsidR="00191358" w:rsidRPr="00A1701E" w:rsidRDefault="00191358" w:rsidP="00AA1475">
            <w:pPr>
              <w:jc w:val="center"/>
            </w:pPr>
          </w:p>
        </w:tc>
        <w:tc>
          <w:tcPr>
            <w:tcW w:w="1250" w:type="dxa"/>
            <w:shd w:val="clear" w:color="auto" w:fill="auto"/>
            <w:noWrap/>
            <w:vAlign w:val="center"/>
            <w:hideMark/>
          </w:tcPr>
          <w:p w14:paraId="0130FCD8" w14:textId="7FA3502E" w:rsidR="00191358" w:rsidRPr="00A1701E" w:rsidRDefault="00DA6ADD" w:rsidP="00AA1475">
            <w:pPr>
              <w:jc w:val="center"/>
              <w:rPr>
                <w:highlight w:val="yellow"/>
              </w:rPr>
            </w:pPr>
            <w:r w:rsidRPr="00DA6ADD">
              <w:rPr>
                <w:b/>
                <w:bCs/>
              </w:rPr>
              <w:t>REDACTED</w:t>
            </w:r>
          </w:p>
        </w:tc>
        <w:tc>
          <w:tcPr>
            <w:tcW w:w="1334" w:type="dxa"/>
            <w:shd w:val="clear" w:color="auto" w:fill="auto"/>
            <w:noWrap/>
            <w:vAlign w:val="center"/>
            <w:hideMark/>
          </w:tcPr>
          <w:p w14:paraId="4F60A86F" w14:textId="289D4FE9" w:rsidR="00191358" w:rsidRPr="00E9710A" w:rsidRDefault="00DA6ADD" w:rsidP="00AA1475">
            <w:pPr>
              <w:jc w:val="center"/>
              <w:rPr>
                <w:highlight w:val="yellow"/>
              </w:rPr>
            </w:pPr>
            <w:r w:rsidRPr="00DA6ADD">
              <w:rPr>
                <w:b/>
                <w:bCs/>
              </w:rPr>
              <w:t>REDACTED</w:t>
            </w:r>
          </w:p>
        </w:tc>
        <w:tc>
          <w:tcPr>
            <w:tcW w:w="1084" w:type="dxa"/>
            <w:shd w:val="clear" w:color="auto" w:fill="auto"/>
            <w:noWrap/>
            <w:vAlign w:val="center"/>
            <w:hideMark/>
          </w:tcPr>
          <w:p w14:paraId="4A2A8C7B" w14:textId="14228BDE" w:rsidR="00191358" w:rsidRPr="00A1701E" w:rsidRDefault="00DA6ADD" w:rsidP="00AA1475">
            <w:pPr>
              <w:jc w:val="center"/>
              <w:rPr>
                <w:highlight w:val="yellow"/>
              </w:rPr>
            </w:pPr>
            <w:r w:rsidRPr="00DA6ADD">
              <w:rPr>
                <w:b/>
                <w:bCs/>
                <w:sz w:val="20"/>
                <w:szCs w:val="20"/>
              </w:rPr>
              <w:t>REDACTED</w:t>
            </w:r>
          </w:p>
        </w:tc>
        <w:tc>
          <w:tcPr>
            <w:tcW w:w="834" w:type="dxa"/>
            <w:shd w:val="clear" w:color="auto" w:fill="auto"/>
            <w:noWrap/>
            <w:vAlign w:val="center"/>
            <w:hideMark/>
          </w:tcPr>
          <w:p w14:paraId="5D5C2E09" w14:textId="4D369314" w:rsidR="00191358" w:rsidRPr="00A1701E" w:rsidRDefault="00DA6ADD" w:rsidP="00AA1475">
            <w:pPr>
              <w:jc w:val="center"/>
              <w:rPr>
                <w:highlight w:val="yellow"/>
              </w:rPr>
            </w:pPr>
            <w:r w:rsidRPr="00DA6ADD">
              <w:rPr>
                <w:b/>
                <w:bCs/>
                <w:sz w:val="16"/>
                <w:szCs w:val="16"/>
              </w:rPr>
              <w:t>REDACTED</w:t>
            </w:r>
          </w:p>
        </w:tc>
      </w:tr>
      <w:tr w:rsidR="00191358" w:rsidRPr="002F5ED6" w14:paraId="5092FFFF" w14:textId="77777777" w:rsidTr="004048F1">
        <w:trPr>
          <w:trHeight w:val="288"/>
          <w:jc w:val="center"/>
        </w:trPr>
        <w:tc>
          <w:tcPr>
            <w:tcW w:w="2334" w:type="dxa"/>
            <w:shd w:val="clear" w:color="auto" w:fill="auto"/>
            <w:vAlign w:val="center"/>
            <w:hideMark/>
          </w:tcPr>
          <w:p w14:paraId="60AEEC2D" w14:textId="77777777" w:rsidR="00191358" w:rsidRPr="00A1701E" w:rsidRDefault="00191358" w:rsidP="00AA1475">
            <w:pPr>
              <w:jc w:val="center"/>
            </w:pPr>
            <w:r w:rsidRPr="00A1701E">
              <w:t>Solar Photovoltaic (PV) - Single Axis Tracker (SAT)</w:t>
            </w:r>
          </w:p>
        </w:tc>
        <w:tc>
          <w:tcPr>
            <w:tcW w:w="1386" w:type="dxa"/>
            <w:shd w:val="clear" w:color="auto" w:fill="auto"/>
            <w:noWrap/>
            <w:vAlign w:val="center"/>
            <w:hideMark/>
          </w:tcPr>
          <w:p w14:paraId="31A756CF" w14:textId="6C75A3AC" w:rsidR="00191358" w:rsidRPr="00A1701E" w:rsidRDefault="00DA6ADD" w:rsidP="00AA1475">
            <w:pPr>
              <w:jc w:val="center"/>
              <w:rPr>
                <w:highlight w:val="yellow"/>
              </w:rPr>
            </w:pPr>
            <w:r w:rsidRPr="00DA6ADD">
              <w:rPr>
                <w:b/>
                <w:bCs/>
              </w:rPr>
              <w:t>REDACTED</w:t>
            </w:r>
          </w:p>
        </w:tc>
        <w:tc>
          <w:tcPr>
            <w:tcW w:w="1890" w:type="dxa"/>
            <w:shd w:val="clear" w:color="auto" w:fill="auto"/>
            <w:noWrap/>
            <w:vAlign w:val="center"/>
            <w:hideMark/>
          </w:tcPr>
          <w:p w14:paraId="7BBA2294" w14:textId="77777777" w:rsidR="00191358" w:rsidRPr="00E62540" w:rsidRDefault="00191358" w:rsidP="00AA1475">
            <w:pPr>
              <w:jc w:val="center"/>
            </w:pPr>
            <w:r w:rsidRPr="00E62540">
              <w:t>0%</w:t>
            </w:r>
          </w:p>
        </w:tc>
        <w:tc>
          <w:tcPr>
            <w:tcW w:w="1080" w:type="dxa"/>
            <w:shd w:val="clear" w:color="auto" w:fill="DBDBDB"/>
            <w:noWrap/>
            <w:vAlign w:val="center"/>
            <w:hideMark/>
          </w:tcPr>
          <w:p w14:paraId="2ECD90BC" w14:textId="24C544B8" w:rsidR="00191358" w:rsidRPr="00A1701E" w:rsidRDefault="00191358" w:rsidP="00AA1475">
            <w:pPr>
              <w:jc w:val="center"/>
            </w:pPr>
          </w:p>
        </w:tc>
        <w:tc>
          <w:tcPr>
            <w:tcW w:w="1080" w:type="dxa"/>
            <w:shd w:val="clear" w:color="auto" w:fill="DBDBDB"/>
            <w:noWrap/>
            <w:vAlign w:val="center"/>
            <w:hideMark/>
          </w:tcPr>
          <w:p w14:paraId="1F3657A3" w14:textId="3EEA1F8F" w:rsidR="00191358" w:rsidRPr="00A1701E" w:rsidRDefault="00191358" w:rsidP="00AA1475">
            <w:pPr>
              <w:jc w:val="center"/>
            </w:pPr>
          </w:p>
        </w:tc>
        <w:tc>
          <w:tcPr>
            <w:tcW w:w="1050" w:type="dxa"/>
            <w:shd w:val="clear" w:color="auto" w:fill="auto"/>
            <w:noWrap/>
            <w:vAlign w:val="center"/>
            <w:hideMark/>
          </w:tcPr>
          <w:p w14:paraId="02CCCBCE" w14:textId="52B4670E" w:rsidR="00191358" w:rsidRPr="00DA6ADD" w:rsidRDefault="00DA6ADD" w:rsidP="00AA1475">
            <w:pPr>
              <w:jc w:val="center"/>
              <w:rPr>
                <w:b/>
                <w:bCs/>
                <w:highlight w:val="yellow"/>
              </w:rPr>
            </w:pPr>
            <w:r w:rsidRPr="00DA6ADD">
              <w:rPr>
                <w:b/>
                <w:bCs/>
                <w:sz w:val="20"/>
                <w:szCs w:val="20"/>
              </w:rPr>
              <w:t>REDACTED</w:t>
            </w:r>
          </w:p>
        </w:tc>
        <w:tc>
          <w:tcPr>
            <w:tcW w:w="1250" w:type="dxa"/>
            <w:shd w:val="clear" w:color="auto" w:fill="auto"/>
            <w:noWrap/>
            <w:vAlign w:val="center"/>
            <w:hideMark/>
          </w:tcPr>
          <w:p w14:paraId="05B34B2C" w14:textId="60829032" w:rsidR="00191358" w:rsidRPr="00A1701E" w:rsidRDefault="00DA6ADD" w:rsidP="00AA1475">
            <w:pPr>
              <w:jc w:val="center"/>
              <w:rPr>
                <w:highlight w:val="yellow"/>
              </w:rPr>
            </w:pPr>
            <w:r w:rsidRPr="00DA6ADD">
              <w:rPr>
                <w:b/>
                <w:bCs/>
              </w:rPr>
              <w:t>REDACTED</w:t>
            </w:r>
          </w:p>
        </w:tc>
        <w:tc>
          <w:tcPr>
            <w:tcW w:w="1334" w:type="dxa"/>
            <w:shd w:val="clear" w:color="auto" w:fill="auto"/>
            <w:noWrap/>
            <w:vAlign w:val="center"/>
            <w:hideMark/>
          </w:tcPr>
          <w:p w14:paraId="4A578657" w14:textId="073D0631" w:rsidR="00191358" w:rsidRPr="00E9710A" w:rsidRDefault="00DA6ADD" w:rsidP="00AA1475">
            <w:pPr>
              <w:jc w:val="center"/>
              <w:rPr>
                <w:rFonts w:ascii="Aptos" w:eastAsia="Aptos" w:hAnsi="Aptos" w:cs="Aptos"/>
              </w:rPr>
            </w:pPr>
            <w:r w:rsidRPr="00DA6ADD">
              <w:rPr>
                <w:b/>
                <w:bCs/>
              </w:rPr>
              <w:t>REDACTED</w:t>
            </w:r>
          </w:p>
        </w:tc>
        <w:tc>
          <w:tcPr>
            <w:tcW w:w="1084" w:type="dxa"/>
            <w:shd w:val="clear" w:color="auto" w:fill="DBDBDB"/>
            <w:noWrap/>
            <w:vAlign w:val="center"/>
            <w:hideMark/>
          </w:tcPr>
          <w:p w14:paraId="1AC9A0A6" w14:textId="0E71CE46" w:rsidR="00191358" w:rsidRPr="00A1701E" w:rsidRDefault="00191358" w:rsidP="00AA1475">
            <w:pPr>
              <w:jc w:val="center"/>
            </w:pPr>
          </w:p>
        </w:tc>
        <w:tc>
          <w:tcPr>
            <w:tcW w:w="834" w:type="dxa"/>
            <w:shd w:val="clear" w:color="auto" w:fill="auto"/>
            <w:noWrap/>
            <w:vAlign w:val="center"/>
            <w:hideMark/>
          </w:tcPr>
          <w:p w14:paraId="4424BDD2" w14:textId="65085F9D" w:rsidR="00191358" w:rsidRPr="00A1701E" w:rsidRDefault="00DA6ADD" w:rsidP="00AA1475">
            <w:pPr>
              <w:jc w:val="center"/>
              <w:rPr>
                <w:highlight w:val="yellow"/>
              </w:rPr>
            </w:pPr>
            <w:r w:rsidRPr="00DA6ADD">
              <w:rPr>
                <w:b/>
                <w:bCs/>
                <w:sz w:val="16"/>
                <w:szCs w:val="16"/>
              </w:rPr>
              <w:t>REDACTED</w:t>
            </w:r>
          </w:p>
        </w:tc>
      </w:tr>
      <w:tr w:rsidR="00191358" w:rsidRPr="002F5ED6" w14:paraId="382AB7F2" w14:textId="77777777" w:rsidTr="004048F1">
        <w:trPr>
          <w:trHeight w:val="288"/>
          <w:jc w:val="center"/>
        </w:trPr>
        <w:tc>
          <w:tcPr>
            <w:tcW w:w="2334" w:type="dxa"/>
            <w:shd w:val="clear" w:color="auto" w:fill="auto"/>
            <w:vAlign w:val="center"/>
            <w:hideMark/>
          </w:tcPr>
          <w:p w14:paraId="3273CA41" w14:textId="77777777" w:rsidR="00191358" w:rsidRPr="00A1701E" w:rsidRDefault="00191358" w:rsidP="00AA1475">
            <w:pPr>
              <w:jc w:val="center"/>
            </w:pPr>
            <w:r w:rsidRPr="00A1701E">
              <w:t>Onshore Wind Power</w:t>
            </w:r>
          </w:p>
        </w:tc>
        <w:tc>
          <w:tcPr>
            <w:tcW w:w="1386" w:type="dxa"/>
            <w:shd w:val="clear" w:color="auto" w:fill="auto"/>
            <w:noWrap/>
            <w:vAlign w:val="center"/>
            <w:hideMark/>
          </w:tcPr>
          <w:p w14:paraId="1F22F9AE" w14:textId="56751035" w:rsidR="00191358" w:rsidRPr="00A1701E" w:rsidRDefault="00DA6ADD" w:rsidP="00AA1475">
            <w:pPr>
              <w:jc w:val="center"/>
              <w:rPr>
                <w:highlight w:val="yellow"/>
              </w:rPr>
            </w:pPr>
            <w:r w:rsidRPr="00DA6ADD">
              <w:rPr>
                <w:b/>
                <w:bCs/>
              </w:rPr>
              <w:t>REDACTED</w:t>
            </w:r>
          </w:p>
        </w:tc>
        <w:tc>
          <w:tcPr>
            <w:tcW w:w="1890" w:type="dxa"/>
            <w:shd w:val="clear" w:color="auto" w:fill="auto"/>
            <w:noWrap/>
            <w:vAlign w:val="center"/>
            <w:hideMark/>
          </w:tcPr>
          <w:p w14:paraId="1BD1486D" w14:textId="77777777" w:rsidR="00191358" w:rsidRPr="00E62540" w:rsidRDefault="00191358" w:rsidP="00AA1475">
            <w:pPr>
              <w:jc w:val="center"/>
            </w:pPr>
            <w:r w:rsidRPr="00E62540">
              <w:t>35%</w:t>
            </w:r>
          </w:p>
        </w:tc>
        <w:tc>
          <w:tcPr>
            <w:tcW w:w="1080" w:type="dxa"/>
            <w:shd w:val="clear" w:color="auto" w:fill="DBDBDB"/>
            <w:noWrap/>
            <w:vAlign w:val="center"/>
            <w:hideMark/>
          </w:tcPr>
          <w:p w14:paraId="46D44AA0" w14:textId="6D0CE3F9" w:rsidR="00191358" w:rsidRPr="00A1701E" w:rsidRDefault="00191358" w:rsidP="00AA1475">
            <w:pPr>
              <w:jc w:val="center"/>
            </w:pPr>
          </w:p>
        </w:tc>
        <w:tc>
          <w:tcPr>
            <w:tcW w:w="1080" w:type="dxa"/>
            <w:shd w:val="clear" w:color="auto" w:fill="DBDBDB"/>
            <w:noWrap/>
            <w:vAlign w:val="center"/>
            <w:hideMark/>
          </w:tcPr>
          <w:p w14:paraId="593FAB79" w14:textId="2292C81C" w:rsidR="00191358" w:rsidRPr="00A1701E" w:rsidRDefault="00191358" w:rsidP="00AA1475">
            <w:pPr>
              <w:jc w:val="center"/>
            </w:pPr>
          </w:p>
        </w:tc>
        <w:tc>
          <w:tcPr>
            <w:tcW w:w="1050" w:type="dxa"/>
            <w:shd w:val="clear" w:color="auto" w:fill="auto"/>
            <w:noWrap/>
            <w:vAlign w:val="center"/>
            <w:hideMark/>
          </w:tcPr>
          <w:p w14:paraId="7AA22881" w14:textId="1726BBFF" w:rsidR="00191358" w:rsidRPr="00A1701E" w:rsidRDefault="00DA6ADD" w:rsidP="00AA1475">
            <w:pPr>
              <w:jc w:val="center"/>
              <w:rPr>
                <w:highlight w:val="yellow"/>
              </w:rPr>
            </w:pPr>
            <w:r w:rsidRPr="00DA6ADD">
              <w:rPr>
                <w:b/>
                <w:bCs/>
                <w:sz w:val="20"/>
                <w:szCs w:val="20"/>
              </w:rPr>
              <w:t>REDACTED</w:t>
            </w:r>
          </w:p>
        </w:tc>
        <w:tc>
          <w:tcPr>
            <w:tcW w:w="1250" w:type="dxa"/>
            <w:shd w:val="clear" w:color="auto" w:fill="auto"/>
            <w:noWrap/>
            <w:vAlign w:val="center"/>
            <w:hideMark/>
          </w:tcPr>
          <w:p w14:paraId="39F8DE1E" w14:textId="14817B70" w:rsidR="00191358" w:rsidRPr="00A1701E" w:rsidRDefault="00DA6ADD" w:rsidP="00AA1475">
            <w:pPr>
              <w:jc w:val="center"/>
              <w:rPr>
                <w:highlight w:val="yellow"/>
              </w:rPr>
            </w:pPr>
            <w:r w:rsidRPr="00DA6ADD">
              <w:rPr>
                <w:b/>
                <w:bCs/>
              </w:rPr>
              <w:t>REDACTED</w:t>
            </w:r>
          </w:p>
        </w:tc>
        <w:tc>
          <w:tcPr>
            <w:tcW w:w="1334" w:type="dxa"/>
            <w:shd w:val="clear" w:color="auto" w:fill="auto"/>
            <w:noWrap/>
            <w:vAlign w:val="center"/>
            <w:hideMark/>
          </w:tcPr>
          <w:p w14:paraId="1B6DE51D" w14:textId="22F717D8" w:rsidR="00191358" w:rsidRPr="00E9710A" w:rsidRDefault="00DA6ADD" w:rsidP="00AA1475">
            <w:pPr>
              <w:jc w:val="center"/>
              <w:rPr>
                <w:rFonts w:ascii="Aptos" w:eastAsia="Aptos" w:hAnsi="Aptos" w:cs="Aptos"/>
              </w:rPr>
            </w:pPr>
            <w:r w:rsidRPr="00DA6ADD">
              <w:rPr>
                <w:b/>
                <w:bCs/>
              </w:rPr>
              <w:t>REDACTED</w:t>
            </w:r>
          </w:p>
        </w:tc>
        <w:tc>
          <w:tcPr>
            <w:tcW w:w="1084" w:type="dxa"/>
            <w:shd w:val="clear" w:color="auto" w:fill="DBDBDB"/>
            <w:noWrap/>
            <w:vAlign w:val="center"/>
            <w:hideMark/>
          </w:tcPr>
          <w:p w14:paraId="61FB568F" w14:textId="518202B4" w:rsidR="00191358" w:rsidRPr="00A1701E" w:rsidRDefault="00191358" w:rsidP="00AA1475">
            <w:pPr>
              <w:jc w:val="center"/>
            </w:pPr>
          </w:p>
        </w:tc>
        <w:tc>
          <w:tcPr>
            <w:tcW w:w="834" w:type="dxa"/>
            <w:shd w:val="clear" w:color="auto" w:fill="auto"/>
            <w:noWrap/>
            <w:vAlign w:val="center"/>
            <w:hideMark/>
          </w:tcPr>
          <w:p w14:paraId="0234A1AA" w14:textId="458DBE2B" w:rsidR="00191358" w:rsidRPr="00A1701E" w:rsidRDefault="00DA6ADD" w:rsidP="00AA1475">
            <w:pPr>
              <w:jc w:val="center"/>
              <w:rPr>
                <w:highlight w:val="yellow"/>
              </w:rPr>
            </w:pPr>
            <w:r w:rsidRPr="00DA6ADD">
              <w:rPr>
                <w:b/>
                <w:bCs/>
                <w:sz w:val="16"/>
                <w:szCs w:val="16"/>
              </w:rPr>
              <w:t>REDACTED</w:t>
            </w:r>
          </w:p>
        </w:tc>
      </w:tr>
      <w:tr w:rsidR="00C45F9D" w:rsidRPr="002F5ED6" w14:paraId="5C7492E1" w14:textId="77777777" w:rsidTr="004048F1">
        <w:trPr>
          <w:cantSplit/>
          <w:trHeight w:val="288"/>
          <w:jc w:val="center"/>
        </w:trPr>
        <w:tc>
          <w:tcPr>
            <w:tcW w:w="2334" w:type="dxa"/>
            <w:shd w:val="clear" w:color="auto" w:fill="auto"/>
            <w:hideMark/>
          </w:tcPr>
          <w:p w14:paraId="59DF99CE" w14:textId="77777777" w:rsidR="00191358" w:rsidRPr="00A1701E" w:rsidRDefault="00191358" w:rsidP="00AA1475">
            <w:pPr>
              <w:jc w:val="center"/>
            </w:pPr>
            <w:r w:rsidRPr="00A1701E">
              <w:lastRenderedPageBreak/>
              <w:t xml:space="preserve">Lithium-ion Battery Energy Storage System (BESS) - 4 </w:t>
            </w:r>
            <w:proofErr w:type="spellStart"/>
            <w:r w:rsidRPr="00A1701E">
              <w:t>Hr</w:t>
            </w:r>
            <w:proofErr w:type="spellEnd"/>
          </w:p>
        </w:tc>
        <w:tc>
          <w:tcPr>
            <w:tcW w:w="1386" w:type="dxa"/>
            <w:shd w:val="clear" w:color="auto" w:fill="auto"/>
            <w:vAlign w:val="center"/>
            <w:hideMark/>
          </w:tcPr>
          <w:p w14:paraId="721C4AFA" w14:textId="70EB11A6" w:rsidR="00191358" w:rsidRPr="009D21CF" w:rsidRDefault="00DA6ADD" w:rsidP="00AA1475">
            <w:pPr>
              <w:jc w:val="center"/>
            </w:pPr>
            <w:r w:rsidRPr="009D21CF">
              <w:rPr>
                <w:b/>
                <w:bCs/>
              </w:rPr>
              <w:t>REDACTED</w:t>
            </w:r>
            <w:r w:rsidR="00191358" w:rsidRPr="009D21CF">
              <w:br/>
            </w:r>
            <w:proofErr w:type="spellStart"/>
            <w:r w:rsidRPr="009D21CF">
              <w:rPr>
                <w:b/>
                <w:bCs/>
              </w:rPr>
              <w:t>REDACTED</w:t>
            </w:r>
            <w:proofErr w:type="spellEnd"/>
          </w:p>
        </w:tc>
        <w:tc>
          <w:tcPr>
            <w:tcW w:w="1890" w:type="dxa"/>
            <w:shd w:val="clear" w:color="auto" w:fill="auto"/>
            <w:vAlign w:val="center"/>
            <w:hideMark/>
          </w:tcPr>
          <w:p w14:paraId="42753C2D" w14:textId="397C08DE" w:rsidR="00191358" w:rsidRPr="009D21CF" w:rsidRDefault="00191358" w:rsidP="00AA1475">
            <w:pPr>
              <w:ind w:firstLineChars="100" w:firstLine="200"/>
              <w:jc w:val="center"/>
              <w:rPr>
                <w:sz w:val="20"/>
                <w:szCs w:val="20"/>
              </w:rPr>
            </w:pPr>
            <w:r w:rsidRPr="009D21CF">
              <w:rPr>
                <w:sz w:val="20"/>
                <w:szCs w:val="20"/>
              </w:rPr>
              <w:t>0-3000 MW :95%</w:t>
            </w:r>
            <w:r w:rsidRPr="009D21CF">
              <w:rPr>
                <w:sz w:val="20"/>
                <w:szCs w:val="20"/>
              </w:rPr>
              <w:br/>
              <w:t>3001-6000 MW : 75%</w:t>
            </w:r>
            <w:r w:rsidRPr="009D21CF">
              <w:rPr>
                <w:sz w:val="20"/>
                <w:szCs w:val="20"/>
              </w:rPr>
              <w:br/>
              <w:t>6001-9000 MW : 50%</w:t>
            </w:r>
            <w:r w:rsidRPr="009D21CF">
              <w:rPr>
                <w:sz w:val="20"/>
                <w:szCs w:val="20"/>
              </w:rPr>
              <w:br/>
              <w:t>9001+ MW : 25%</w:t>
            </w:r>
          </w:p>
        </w:tc>
        <w:tc>
          <w:tcPr>
            <w:tcW w:w="1080" w:type="dxa"/>
            <w:shd w:val="clear" w:color="auto" w:fill="DBDBDB"/>
            <w:noWrap/>
            <w:vAlign w:val="center"/>
            <w:hideMark/>
          </w:tcPr>
          <w:p w14:paraId="26925ECB" w14:textId="323B70C8" w:rsidR="00191358" w:rsidRPr="00A1701E" w:rsidRDefault="00191358" w:rsidP="00E9710A">
            <w:pPr>
              <w:jc w:val="left"/>
            </w:pPr>
          </w:p>
        </w:tc>
        <w:tc>
          <w:tcPr>
            <w:tcW w:w="1080" w:type="dxa"/>
            <w:shd w:val="clear" w:color="auto" w:fill="auto"/>
            <w:noWrap/>
            <w:vAlign w:val="center"/>
            <w:hideMark/>
          </w:tcPr>
          <w:p w14:paraId="584B606B" w14:textId="100C2FF4" w:rsidR="00191358" w:rsidRPr="00DA6ADD" w:rsidRDefault="00DA6ADD" w:rsidP="00AA1475">
            <w:pPr>
              <w:jc w:val="center"/>
              <w:rPr>
                <w:b/>
                <w:bCs/>
                <w:highlight w:val="yellow"/>
              </w:rPr>
            </w:pPr>
            <w:r w:rsidRPr="00DA6ADD">
              <w:rPr>
                <w:b/>
                <w:bCs/>
                <w:sz w:val="20"/>
                <w:szCs w:val="20"/>
              </w:rPr>
              <w:t>REDACTED</w:t>
            </w:r>
          </w:p>
        </w:tc>
        <w:tc>
          <w:tcPr>
            <w:tcW w:w="1050" w:type="dxa"/>
            <w:shd w:val="clear" w:color="auto" w:fill="DBDBDB"/>
            <w:noWrap/>
            <w:vAlign w:val="center"/>
            <w:hideMark/>
          </w:tcPr>
          <w:p w14:paraId="5EBEDE6F" w14:textId="2D627502" w:rsidR="00191358" w:rsidRPr="00A1701E" w:rsidRDefault="00191358" w:rsidP="00AA1475">
            <w:pPr>
              <w:jc w:val="center"/>
            </w:pPr>
          </w:p>
        </w:tc>
        <w:tc>
          <w:tcPr>
            <w:tcW w:w="1250" w:type="dxa"/>
            <w:shd w:val="clear" w:color="auto" w:fill="auto"/>
            <w:noWrap/>
            <w:vAlign w:val="center"/>
            <w:hideMark/>
          </w:tcPr>
          <w:p w14:paraId="5B6821F0" w14:textId="4379DDE0" w:rsidR="00191358" w:rsidRPr="00DA6ADD" w:rsidRDefault="00DA6ADD" w:rsidP="00AA1475">
            <w:pPr>
              <w:jc w:val="center"/>
              <w:rPr>
                <w:b/>
                <w:bCs/>
                <w:highlight w:val="yellow"/>
              </w:rPr>
            </w:pPr>
            <w:r w:rsidRPr="00DA6ADD">
              <w:rPr>
                <w:b/>
                <w:bCs/>
              </w:rPr>
              <w:t>REDACTED</w:t>
            </w:r>
          </w:p>
        </w:tc>
        <w:tc>
          <w:tcPr>
            <w:tcW w:w="1334" w:type="dxa"/>
            <w:shd w:val="clear" w:color="auto" w:fill="auto"/>
            <w:noWrap/>
            <w:vAlign w:val="center"/>
            <w:hideMark/>
          </w:tcPr>
          <w:p w14:paraId="44EAD751" w14:textId="4129366A" w:rsidR="00191358" w:rsidRPr="00E9710A" w:rsidRDefault="00DA6ADD" w:rsidP="00AA1475">
            <w:pPr>
              <w:jc w:val="center"/>
              <w:rPr>
                <w:highlight w:val="yellow"/>
              </w:rPr>
            </w:pPr>
            <w:r w:rsidRPr="00DA6ADD">
              <w:rPr>
                <w:b/>
                <w:bCs/>
              </w:rPr>
              <w:t>REDACTED</w:t>
            </w:r>
          </w:p>
        </w:tc>
        <w:tc>
          <w:tcPr>
            <w:tcW w:w="1084" w:type="dxa"/>
            <w:shd w:val="clear" w:color="auto" w:fill="auto"/>
            <w:noWrap/>
            <w:vAlign w:val="center"/>
            <w:hideMark/>
          </w:tcPr>
          <w:p w14:paraId="0053242F" w14:textId="1A91A427" w:rsidR="00191358" w:rsidRPr="00A1701E" w:rsidRDefault="00DA6ADD" w:rsidP="00AA1475">
            <w:pPr>
              <w:jc w:val="center"/>
              <w:rPr>
                <w:highlight w:val="yellow"/>
              </w:rPr>
            </w:pPr>
            <w:r w:rsidRPr="00DA6ADD">
              <w:rPr>
                <w:b/>
                <w:bCs/>
                <w:sz w:val="20"/>
                <w:szCs w:val="20"/>
              </w:rPr>
              <w:t>REDACTED</w:t>
            </w:r>
          </w:p>
        </w:tc>
        <w:tc>
          <w:tcPr>
            <w:tcW w:w="834" w:type="dxa"/>
            <w:shd w:val="clear" w:color="auto" w:fill="auto"/>
            <w:noWrap/>
            <w:vAlign w:val="center"/>
            <w:hideMark/>
          </w:tcPr>
          <w:p w14:paraId="109FC5D1" w14:textId="01315ECD" w:rsidR="00191358" w:rsidRPr="00A1701E" w:rsidRDefault="00DA6ADD" w:rsidP="00AA1475">
            <w:pPr>
              <w:jc w:val="center"/>
              <w:rPr>
                <w:highlight w:val="yellow"/>
              </w:rPr>
            </w:pPr>
            <w:r w:rsidRPr="00DA6ADD">
              <w:rPr>
                <w:b/>
                <w:bCs/>
                <w:sz w:val="16"/>
                <w:szCs w:val="16"/>
              </w:rPr>
              <w:t>REDACTED</w:t>
            </w:r>
          </w:p>
        </w:tc>
      </w:tr>
      <w:tr w:rsidR="00191358" w:rsidRPr="002F5ED6" w14:paraId="1F5144E2" w14:textId="77777777" w:rsidTr="004048F1">
        <w:trPr>
          <w:trHeight w:val="288"/>
          <w:jc w:val="center"/>
        </w:trPr>
        <w:tc>
          <w:tcPr>
            <w:tcW w:w="2334" w:type="dxa"/>
            <w:shd w:val="clear" w:color="auto" w:fill="auto"/>
            <w:vAlign w:val="center"/>
          </w:tcPr>
          <w:p w14:paraId="7F33B388" w14:textId="77777777" w:rsidR="00191358" w:rsidRPr="00A1701E" w:rsidRDefault="00191358" w:rsidP="00AA1475">
            <w:pPr>
              <w:jc w:val="center"/>
            </w:pPr>
            <w:r w:rsidRPr="00A1701E">
              <w:t>Medium Duration Energy Storage System</w:t>
            </w:r>
          </w:p>
        </w:tc>
        <w:tc>
          <w:tcPr>
            <w:tcW w:w="1386" w:type="dxa"/>
            <w:shd w:val="clear" w:color="auto" w:fill="auto"/>
            <w:noWrap/>
            <w:vAlign w:val="center"/>
          </w:tcPr>
          <w:p w14:paraId="7D7B6D1A" w14:textId="0FCDF62E" w:rsidR="00191358" w:rsidRPr="00DA6ADD" w:rsidRDefault="00DA6ADD" w:rsidP="00AA1475">
            <w:pPr>
              <w:jc w:val="center"/>
              <w:rPr>
                <w:b/>
                <w:bCs/>
              </w:rPr>
            </w:pPr>
            <w:r w:rsidRPr="00DA6ADD">
              <w:rPr>
                <w:b/>
                <w:bCs/>
              </w:rPr>
              <w:t>REDACTED</w:t>
            </w:r>
          </w:p>
          <w:p w14:paraId="031572AA" w14:textId="76D5783F" w:rsidR="00191358" w:rsidRPr="00DA6ADD" w:rsidRDefault="00DA6ADD" w:rsidP="00AA1475">
            <w:pPr>
              <w:jc w:val="center"/>
              <w:rPr>
                <w:b/>
                <w:bCs/>
                <w:highlight w:val="yellow"/>
              </w:rPr>
            </w:pPr>
            <w:r w:rsidRPr="00DA6ADD">
              <w:rPr>
                <w:b/>
                <w:bCs/>
              </w:rPr>
              <w:t>REDACTED</w:t>
            </w:r>
          </w:p>
        </w:tc>
        <w:tc>
          <w:tcPr>
            <w:tcW w:w="1890" w:type="dxa"/>
            <w:shd w:val="clear" w:color="auto" w:fill="auto"/>
            <w:noWrap/>
            <w:vAlign w:val="center"/>
          </w:tcPr>
          <w:p w14:paraId="68DC8CBE" w14:textId="77777777" w:rsidR="00191358" w:rsidRPr="00E62540" w:rsidRDefault="00191358" w:rsidP="00AA1475">
            <w:pPr>
              <w:jc w:val="center"/>
            </w:pPr>
            <w:r w:rsidRPr="00E62540">
              <w:t>100%</w:t>
            </w:r>
          </w:p>
        </w:tc>
        <w:tc>
          <w:tcPr>
            <w:tcW w:w="1080" w:type="dxa"/>
            <w:shd w:val="clear" w:color="auto" w:fill="DBDBDB"/>
            <w:noWrap/>
            <w:vAlign w:val="center"/>
          </w:tcPr>
          <w:p w14:paraId="70103C93" w14:textId="77777777" w:rsidR="00191358" w:rsidRPr="00A1701E" w:rsidRDefault="00191358" w:rsidP="00AA1475">
            <w:pPr>
              <w:jc w:val="center"/>
            </w:pPr>
          </w:p>
        </w:tc>
        <w:tc>
          <w:tcPr>
            <w:tcW w:w="1080" w:type="dxa"/>
            <w:shd w:val="clear" w:color="auto" w:fill="auto"/>
            <w:noWrap/>
            <w:vAlign w:val="center"/>
          </w:tcPr>
          <w:p w14:paraId="39F0C54B" w14:textId="60D20140" w:rsidR="00191358" w:rsidRPr="00A1701E" w:rsidRDefault="00DA6ADD" w:rsidP="00AA1475">
            <w:pPr>
              <w:jc w:val="center"/>
              <w:rPr>
                <w:highlight w:val="yellow"/>
              </w:rPr>
            </w:pPr>
            <w:r w:rsidRPr="00DA6ADD">
              <w:rPr>
                <w:b/>
                <w:bCs/>
                <w:sz w:val="20"/>
                <w:szCs w:val="20"/>
              </w:rPr>
              <w:t>REDACTED</w:t>
            </w:r>
          </w:p>
        </w:tc>
        <w:tc>
          <w:tcPr>
            <w:tcW w:w="1050" w:type="dxa"/>
            <w:shd w:val="clear" w:color="auto" w:fill="DBDBDB"/>
            <w:noWrap/>
            <w:vAlign w:val="center"/>
          </w:tcPr>
          <w:p w14:paraId="64CDABAE" w14:textId="77777777" w:rsidR="00191358" w:rsidRPr="00A1701E" w:rsidRDefault="00191358" w:rsidP="00AA1475">
            <w:pPr>
              <w:jc w:val="center"/>
            </w:pPr>
          </w:p>
        </w:tc>
        <w:tc>
          <w:tcPr>
            <w:tcW w:w="1250" w:type="dxa"/>
            <w:shd w:val="clear" w:color="auto" w:fill="auto"/>
            <w:noWrap/>
            <w:vAlign w:val="center"/>
          </w:tcPr>
          <w:p w14:paraId="41401F75" w14:textId="47E5577F" w:rsidR="00191358" w:rsidRPr="00A1701E" w:rsidRDefault="00DA6ADD" w:rsidP="00AA1475">
            <w:pPr>
              <w:jc w:val="center"/>
              <w:rPr>
                <w:highlight w:val="yellow"/>
              </w:rPr>
            </w:pPr>
            <w:r w:rsidRPr="00DA6ADD">
              <w:rPr>
                <w:b/>
                <w:bCs/>
              </w:rPr>
              <w:t>REDACTED</w:t>
            </w:r>
          </w:p>
        </w:tc>
        <w:tc>
          <w:tcPr>
            <w:tcW w:w="1334" w:type="dxa"/>
            <w:shd w:val="clear" w:color="auto" w:fill="auto"/>
            <w:noWrap/>
            <w:vAlign w:val="center"/>
          </w:tcPr>
          <w:p w14:paraId="54039EE6" w14:textId="235263DF" w:rsidR="00191358" w:rsidRPr="00E9710A" w:rsidRDefault="00DA6ADD" w:rsidP="00AA1475">
            <w:pPr>
              <w:jc w:val="center"/>
              <w:rPr>
                <w:rFonts w:ascii="Aptos" w:eastAsia="Aptos" w:hAnsi="Aptos" w:cs="Aptos"/>
              </w:rPr>
            </w:pPr>
            <w:r w:rsidRPr="00DA6ADD">
              <w:rPr>
                <w:b/>
                <w:bCs/>
              </w:rPr>
              <w:t>REDACTED</w:t>
            </w:r>
          </w:p>
        </w:tc>
        <w:tc>
          <w:tcPr>
            <w:tcW w:w="1084" w:type="dxa"/>
            <w:shd w:val="clear" w:color="auto" w:fill="auto"/>
            <w:noWrap/>
            <w:vAlign w:val="center"/>
          </w:tcPr>
          <w:p w14:paraId="29F3BDC4" w14:textId="612E2096" w:rsidR="00191358" w:rsidRPr="00A1701E" w:rsidRDefault="00DA6ADD" w:rsidP="00AA1475">
            <w:pPr>
              <w:jc w:val="center"/>
              <w:rPr>
                <w:highlight w:val="yellow"/>
              </w:rPr>
            </w:pPr>
            <w:r w:rsidRPr="00DA6ADD">
              <w:rPr>
                <w:b/>
                <w:bCs/>
                <w:sz w:val="20"/>
                <w:szCs w:val="20"/>
              </w:rPr>
              <w:t>REDACTED</w:t>
            </w:r>
          </w:p>
        </w:tc>
        <w:tc>
          <w:tcPr>
            <w:tcW w:w="834" w:type="dxa"/>
            <w:shd w:val="clear" w:color="auto" w:fill="auto"/>
            <w:noWrap/>
            <w:vAlign w:val="center"/>
          </w:tcPr>
          <w:p w14:paraId="06C3C460" w14:textId="5A6952DF" w:rsidR="00191358" w:rsidRPr="00DA6ADD" w:rsidRDefault="00DA6ADD" w:rsidP="00AA1475">
            <w:pPr>
              <w:jc w:val="center"/>
              <w:rPr>
                <w:b/>
                <w:bCs/>
                <w:highlight w:val="yellow"/>
              </w:rPr>
            </w:pPr>
            <w:r w:rsidRPr="00DA6ADD">
              <w:rPr>
                <w:b/>
                <w:bCs/>
                <w:sz w:val="16"/>
                <w:szCs w:val="16"/>
              </w:rPr>
              <w:t>REDACTED</w:t>
            </w:r>
          </w:p>
        </w:tc>
      </w:tr>
      <w:tr w:rsidR="00191358" w:rsidRPr="002F5ED6" w14:paraId="55EB32D8" w14:textId="77777777" w:rsidTr="004048F1">
        <w:trPr>
          <w:trHeight w:val="288"/>
          <w:jc w:val="center"/>
        </w:trPr>
        <w:tc>
          <w:tcPr>
            <w:tcW w:w="2334" w:type="dxa"/>
            <w:shd w:val="clear" w:color="auto" w:fill="auto"/>
            <w:vAlign w:val="center"/>
            <w:hideMark/>
          </w:tcPr>
          <w:p w14:paraId="0BCC59D0" w14:textId="4B8F87FF" w:rsidR="00191358" w:rsidRPr="00A1701E" w:rsidRDefault="00191358" w:rsidP="00AA1475">
            <w:pPr>
              <w:jc w:val="center"/>
            </w:pPr>
            <w:r>
              <w:t>Nuclear (AP-1000)</w:t>
            </w:r>
          </w:p>
        </w:tc>
        <w:tc>
          <w:tcPr>
            <w:tcW w:w="1386" w:type="dxa"/>
            <w:shd w:val="clear" w:color="auto" w:fill="auto"/>
            <w:noWrap/>
            <w:vAlign w:val="center"/>
            <w:hideMark/>
          </w:tcPr>
          <w:p w14:paraId="399E2D85" w14:textId="6775A113" w:rsidR="00191358" w:rsidRPr="00A1701E" w:rsidRDefault="00DA6ADD" w:rsidP="00AA1475">
            <w:pPr>
              <w:jc w:val="center"/>
              <w:rPr>
                <w:highlight w:val="yellow"/>
              </w:rPr>
            </w:pPr>
            <w:r w:rsidRPr="00DA6ADD">
              <w:rPr>
                <w:b/>
                <w:bCs/>
              </w:rPr>
              <w:t>REDACTED</w:t>
            </w:r>
          </w:p>
        </w:tc>
        <w:tc>
          <w:tcPr>
            <w:tcW w:w="1890" w:type="dxa"/>
            <w:shd w:val="clear" w:color="auto" w:fill="auto"/>
            <w:noWrap/>
            <w:vAlign w:val="center"/>
            <w:hideMark/>
          </w:tcPr>
          <w:p w14:paraId="0445208F" w14:textId="77777777" w:rsidR="00191358" w:rsidRPr="00E62540" w:rsidRDefault="00191358" w:rsidP="00AA1475">
            <w:pPr>
              <w:jc w:val="center"/>
            </w:pPr>
            <w:r w:rsidRPr="00E62540">
              <w:t>100%</w:t>
            </w:r>
          </w:p>
        </w:tc>
        <w:tc>
          <w:tcPr>
            <w:tcW w:w="1080" w:type="dxa"/>
            <w:shd w:val="clear" w:color="auto" w:fill="DBDBDB"/>
            <w:noWrap/>
            <w:vAlign w:val="center"/>
            <w:hideMark/>
          </w:tcPr>
          <w:p w14:paraId="6AFECE3C" w14:textId="60119B95" w:rsidR="00191358" w:rsidRPr="00A1701E" w:rsidRDefault="00191358" w:rsidP="00AA1475">
            <w:pPr>
              <w:jc w:val="center"/>
            </w:pPr>
          </w:p>
        </w:tc>
        <w:tc>
          <w:tcPr>
            <w:tcW w:w="1080" w:type="dxa"/>
            <w:shd w:val="clear" w:color="auto" w:fill="DBDBDB"/>
            <w:noWrap/>
            <w:vAlign w:val="center"/>
            <w:hideMark/>
          </w:tcPr>
          <w:p w14:paraId="4C3ACE28" w14:textId="1E8A82F7" w:rsidR="00191358" w:rsidRPr="00A1701E" w:rsidRDefault="00191358" w:rsidP="00AA1475">
            <w:pPr>
              <w:jc w:val="center"/>
            </w:pPr>
          </w:p>
        </w:tc>
        <w:tc>
          <w:tcPr>
            <w:tcW w:w="1050" w:type="dxa"/>
            <w:shd w:val="clear" w:color="auto" w:fill="DBDBDB"/>
            <w:noWrap/>
            <w:vAlign w:val="center"/>
            <w:hideMark/>
          </w:tcPr>
          <w:p w14:paraId="07039FD7" w14:textId="42CF08E2" w:rsidR="00191358" w:rsidRPr="00A1701E" w:rsidRDefault="00191358" w:rsidP="00AA1475">
            <w:pPr>
              <w:jc w:val="center"/>
            </w:pPr>
          </w:p>
        </w:tc>
        <w:tc>
          <w:tcPr>
            <w:tcW w:w="1250" w:type="dxa"/>
            <w:shd w:val="clear" w:color="auto" w:fill="auto"/>
            <w:noWrap/>
            <w:vAlign w:val="center"/>
            <w:hideMark/>
          </w:tcPr>
          <w:p w14:paraId="31179D46" w14:textId="5CA1E9B3" w:rsidR="00191358" w:rsidRPr="00A1701E" w:rsidRDefault="00DA6ADD" w:rsidP="00AA1475">
            <w:pPr>
              <w:jc w:val="center"/>
              <w:rPr>
                <w:highlight w:val="yellow"/>
              </w:rPr>
            </w:pPr>
            <w:r w:rsidRPr="00DA6ADD">
              <w:rPr>
                <w:b/>
                <w:bCs/>
              </w:rPr>
              <w:t>REDACTED</w:t>
            </w:r>
          </w:p>
        </w:tc>
        <w:tc>
          <w:tcPr>
            <w:tcW w:w="1334" w:type="dxa"/>
            <w:shd w:val="clear" w:color="auto" w:fill="auto"/>
            <w:noWrap/>
            <w:vAlign w:val="center"/>
            <w:hideMark/>
          </w:tcPr>
          <w:p w14:paraId="71F959AC" w14:textId="7ABF9B3A" w:rsidR="00191358" w:rsidRPr="00E9710A" w:rsidRDefault="00DA6ADD" w:rsidP="00AA1475">
            <w:pPr>
              <w:jc w:val="center"/>
              <w:rPr>
                <w:highlight w:val="yellow"/>
              </w:rPr>
            </w:pPr>
            <w:r w:rsidRPr="00DA6ADD">
              <w:rPr>
                <w:b/>
                <w:bCs/>
              </w:rPr>
              <w:t>REDACTED</w:t>
            </w:r>
          </w:p>
        </w:tc>
        <w:tc>
          <w:tcPr>
            <w:tcW w:w="1084" w:type="dxa"/>
            <w:shd w:val="clear" w:color="auto" w:fill="DBDBDB"/>
            <w:noWrap/>
            <w:vAlign w:val="center"/>
            <w:hideMark/>
          </w:tcPr>
          <w:p w14:paraId="05F2141F" w14:textId="555B6205" w:rsidR="00191358" w:rsidRPr="00A1701E" w:rsidRDefault="00191358" w:rsidP="00AA1475">
            <w:pPr>
              <w:jc w:val="center"/>
            </w:pPr>
          </w:p>
        </w:tc>
        <w:tc>
          <w:tcPr>
            <w:tcW w:w="834" w:type="dxa"/>
            <w:shd w:val="clear" w:color="auto" w:fill="auto"/>
            <w:noWrap/>
            <w:vAlign w:val="center"/>
            <w:hideMark/>
          </w:tcPr>
          <w:p w14:paraId="32FAADD2" w14:textId="71F8F251" w:rsidR="00191358" w:rsidRPr="00A1701E" w:rsidRDefault="00DA6ADD" w:rsidP="00AA1475">
            <w:pPr>
              <w:jc w:val="center"/>
              <w:rPr>
                <w:highlight w:val="yellow"/>
              </w:rPr>
            </w:pPr>
            <w:r w:rsidRPr="00DA6ADD">
              <w:rPr>
                <w:b/>
                <w:bCs/>
                <w:sz w:val="16"/>
                <w:szCs w:val="16"/>
              </w:rPr>
              <w:t>REDACTED</w:t>
            </w:r>
          </w:p>
        </w:tc>
      </w:tr>
    </w:tbl>
    <w:p w14:paraId="27EC9E5E" w14:textId="5D627193" w:rsidR="008D4BD8" w:rsidRPr="008D4BD8" w:rsidRDefault="008D4BD8" w:rsidP="00877AAB">
      <w:pPr>
        <w:ind w:left="-810"/>
      </w:pPr>
    </w:p>
    <w:p w14:paraId="38DB3CCF" w14:textId="77777777" w:rsidR="008D4BD8" w:rsidRDefault="008D4BD8" w:rsidP="00081DDD">
      <w:pPr>
        <w:sectPr w:rsidR="008D4BD8" w:rsidSect="0016115C">
          <w:headerReference w:type="default" r:id="rId30"/>
          <w:pgSz w:w="15840" w:h="12240" w:orient="landscape"/>
          <w:pgMar w:top="1440" w:right="1440" w:bottom="1440" w:left="1440" w:header="720" w:footer="720" w:gutter="0"/>
          <w:cols w:space="720"/>
          <w:docGrid w:linePitch="360"/>
        </w:sectPr>
      </w:pPr>
    </w:p>
    <w:p w14:paraId="7378E387" w14:textId="3A532442" w:rsidR="00B54758" w:rsidRDefault="00FD6D23" w:rsidP="00D86E63">
      <w:r>
        <w:lastRenderedPageBreak/>
        <w:t xml:space="preserve">Construction cost escalation rates for all technologies except solar, wind, and </w:t>
      </w:r>
      <w:r w:rsidR="005A3AE4">
        <w:t>BESS</w:t>
      </w:r>
      <w:r>
        <w:t xml:space="preserve"> are based on the </w:t>
      </w:r>
      <w:r w:rsidR="00736A90">
        <w:t>Gross Domestic Product I</w:t>
      </w:r>
      <w:r w:rsidR="00CD76B2">
        <w:t>mplicit Price Deflator</w:t>
      </w:r>
      <w:r>
        <w:t xml:space="preserve"> (“</w:t>
      </w:r>
      <w:r w:rsidR="00254259">
        <w:t>GDP-IPD</w:t>
      </w:r>
      <w:r>
        <w:t xml:space="preserve">”) from the S&amp;P </w:t>
      </w:r>
      <w:r w:rsidR="00EF5721">
        <w:t xml:space="preserve">Global </w:t>
      </w:r>
      <w:r>
        <w:t xml:space="preserve">June 2024 Forecast, which is </w:t>
      </w:r>
      <w:r w:rsidR="00DA6ADD" w:rsidRPr="00001D7A">
        <w:rPr>
          <w:b/>
          <w:bCs/>
          <w:sz w:val="6"/>
          <w:szCs w:val="6"/>
        </w:rPr>
        <w:t>REDACTED</w:t>
      </w:r>
      <w:r>
        <w:t>% for the duration of the planning period.</w:t>
      </w:r>
    </w:p>
    <w:p w14:paraId="5670A5B5" w14:textId="4830503C" w:rsidR="00FD6D23" w:rsidRDefault="00FD6D23" w:rsidP="00D86E63">
      <w:r>
        <w:t xml:space="preserve">Figure </w:t>
      </w:r>
      <w:r w:rsidR="00690301">
        <w:t>12</w:t>
      </w:r>
      <w:r>
        <w:t xml:space="preserve"> shows the normalized cost projections for </w:t>
      </w:r>
      <w:r w:rsidR="00E26373">
        <w:t>s</w:t>
      </w:r>
      <w:r>
        <w:t xml:space="preserve">outheast </w:t>
      </w:r>
      <w:r w:rsidR="00E26373">
        <w:t>w</w:t>
      </w:r>
      <w:r>
        <w:t xml:space="preserve">ind, </w:t>
      </w:r>
      <w:r w:rsidR="00E26373">
        <w:t>s</w:t>
      </w:r>
      <w:r>
        <w:t xml:space="preserve">olar, and BESS, which </w:t>
      </w:r>
      <w:r w:rsidR="000351AD">
        <w:t xml:space="preserve">reflect </w:t>
      </w:r>
      <w:r>
        <w:t>the escalation trajectory used in the Resource Mix Study.</w:t>
      </w:r>
    </w:p>
    <w:p w14:paraId="577425AF" w14:textId="2AB98562" w:rsidR="00EF5721" w:rsidRDefault="00C877B3" w:rsidP="00A65265">
      <w:pPr>
        <w:pStyle w:val="Caption"/>
      </w:pPr>
      <w:r w:rsidRPr="002B7239">
        <w:t xml:space="preserve">Figure </w:t>
      </w:r>
      <w:r w:rsidR="00302860" w:rsidRPr="002B7239">
        <w:fldChar w:fldCharType="begin"/>
      </w:r>
      <w:r w:rsidR="00302860" w:rsidRPr="002B7239">
        <w:instrText xml:space="preserve"> SEQ Figure \* ARABIC </w:instrText>
      </w:r>
      <w:r w:rsidR="00302860" w:rsidRPr="002B7239">
        <w:fldChar w:fldCharType="separate"/>
      </w:r>
      <w:r w:rsidRPr="002B7239">
        <w:rPr>
          <w:noProof/>
        </w:rPr>
        <w:t>12</w:t>
      </w:r>
      <w:r w:rsidR="00302860" w:rsidRPr="002B7239">
        <w:rPr>
          <w:noProof/>
        </w:rPr>
        <w:fldChar w:fldCharType="end"/>
      </w:r>
      <w:r w:rsidRPr="002B7239">
        <w:t xml:space="preserve">: Wind, Solar, and </w:t>
      </w:r>
      <w:r w:rsidR="00A200E0" w:rsidRPr="002B7239">
        <w:t xml:space="preserve">BESS </w:t>
      </w:r>
      <w:r w:rsidRPr="002B7239">
        <w:t>Normalized Capex Forecast</w:t>
      </w:r>
    </w:p>
    <w:p w14:paraId="45BD17C3" w14:textId="3234BC86" w:rsidR="00FD6D23" w:rsidRPr="00EA17B9" w:rsidRDefault="004E60CD" w:rsidP="00A65265">
      <w:pPr>
        <w:pStyle w:val="Caption"/>
        <w:rPr>
          <w:i w:val="0"/>
          <w:iCs w:val="0"/>
        </w:rPr>
      </w:pPr>
      <w:r>
        <w:rPr>
          <w:i w:val="0"/>
          <w:iCs w:val="0"/>
          <w:noProof/>
        </w:rPr>
        <mc:AlternateContent>
          <mc:Choice Requires="wps">
            <w:drawing>
              <wp:anchor distT="0" distB="0" distL="114300" distR="114300" simplePos="0" relativeHeight="251659264" behindDoc="0" locked="0" layoutInCell="1" allowOverlap="1" wp14:anchorId="2C312DDB" wp14:editId="2A260038">
                <wp:simplePos x="0" y="0"/>
                <wp:positionH relativeFrom="margin">
                  <wp:align>center</wp:align>
                </wp:positionH>
                <wp:positionV relativeFrom="paragraph">
                  <wp:posOffset>1268095</wp:posOffset>
                </wp:positionV>
                <wp:extent cx="1874520" cy="617220"/>
                <wp:effectExtent l="0" t="0" r="11430" b="11430"/>
                <wp:wrapNone/>
                <wp:docPr id="214133448" name="Rectangle 2"/>
                <wp:cNvGraphicFramePr/>
                <a:graphic xmlns:a="http://schemas.openxmlformats.org/drawingml/2006/main">
                  <a:graphicData uri="http://schemas.microsoft.com/office/word/2010/wordprocessingShape">
                    <wps:wsp>
                      <wps:cNvSpPr/>
                      <wps:spPr>
                        <a:xfrm>
                          <a:off x="0" y="0"/>
                          <a:ext cx="1874520" cy="617220"/>
                        </a:xfrm>
                        <a:prstGeom prst="rect">
                          <a:avLst/>
                        </a:prstGeom>
                      </wps:spPr>
                      <wps:style>
                        <a:lnRef idx="2">
                          <a:schemeClr val="dk1"/>
                        </a:lnRef>
                        <a:fillRef idx="1">
                          <a:schemeClr val="lt1"/>
                        </a:fillRef>
                        <a:effectRef idx="0">
                          <a:schemeClr val="dk1"/>
                        </a:effectRef>
                        <a:fontRef idx="minor">
                          <a:schemeClr val="dk1"/>
                        </a:fontRef>
                      </wps:style>
                      <wps:txbx>
                        <w:txbxContent>
                          <w:p w14:paraId="1FB412E4" w14:textId="642DCA35" w:rsidR="004E60CD" w:rsidRPr="00572863" w:rsidRDefault="00572863" w:rsidP="004E60CD">
                            <w:pPr>
                              <w:jc w:val="center"/>
                              <w:rPr>
                                <w:b/>
                                <w:bCs/>
                              </w:rPr>
                            </w:pPr>
                            <w:r>
                              <w:t xml:space="preserve">Utility PV and 4-Hour BESS </w:t>
                            </w:r>
                            <w:r w:rsidR="004E60CD" w:rsidRPr="00572863">
                              <w:rPr>
                                <w:b/>
                                <w:bCs/>
                              </w:rPr>
                              <w:t>REDACTED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C312DDB" id="Rectangle 2" o:spid="_x0000_s1027" style="position:absolute;left:0;text-align:left;margin-left:0;margin-top:99.85pt;width:147.6pt;height:48.6pt;z-index:251659264;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" fillcolor="white [3201]" strokecolor="black [3200]" strokeweight="1pt">
                <v:textbox>
                  <w:txbxContent>
                    <w:p w14:paraId="1FB412E4" w14:textId="642DCA35" w:rsidR="004E60CD" w:rsidRPr="00572863" w:rsidRDefault="00572863" w:rsidP="004E60CD">
                      <w:pPr>
                        <w:jc w:val="center"/>
                        <w:rPr>
                          <w:b/>
                          <w:bCs/>
                        </w:rPr>
                      </w:pPr>
                      <w:r>
                        <w:t xml:space="preserve">Utility PV and 4-Hour BESS </w:t>
                      </w:r>
                      <w:r w:rsidR="004E60CD" w:rsidRPr="00572863">
                        <w:rPr>
                          <w:b/>
                          <w:bCs/>
                        </w:rPr>
                        <w:t>REDACTED</w:t>
                      </w:r>
                    </w:p>
                  </w:txbxContent>
                </v:textbox>
                <w10:wrap anchorx="margin"/>
              </v:rect>
            </w:pict>
          </mc:Fallback>
        </mc:AlternateContent>
      </w:r>
      <w:r w:rsidR="00686219">
        <w:rPr>
          <w:i w:val="0"/>
          <w:iCs w:val="0"/>
          <w:noProof/>
        </w:rPr>
        <w:drawing>
          <wp:inline distT="0" distB="0" distL="0" distR="0" wp14:anchorId="5FF6E6DE" wp14:editId="11521551">
            <wp:extent cx="5943600" cy="3565779"/>
            <wp:effectExtent l="0" t="0" r="0" b="0"/>
            <wp:docPr id="92513266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3565779"/>
                    </a:xfrm>
                    <a:prstGeom prst="rect">
                      <a:avLst/>
                    </a:prstGeom>
                    <a:noFill/>
                  </pic:spPr>
                </pic:pic>
              </a:graphicData>
            </a:graphic>
          </wp:inline>
        </w:drawing>
      </w:r>
    </w:p>
    <w:p w14:paraId="2F9A92FB" w14:textId="70602A38" w:rsidR="00B54758" w:rsidRDefault="00FD6D23" w:rsidP="00D86E63">
      <w:r>
        <w:t xml:space="preserve">Aurora selects new units based on minimizing total operating and capital costs. </w:t>
      </w:r>
      <w:r w:rsidR="00950114">
        <w:t>T</w:t>
      </w:r>
      <w:r>
        <w:t>o minimize</w:t>
      </w:r>
      <w:r w:rsidR="00AC2864">
        <w:t xml:space="preserve"> the</w:t>
      </w:r>
      <w:r>
        <w:t xml:space="preserve"> potential </w:t>
      </w:r>
      <w:r w:rsidR="00AC2864">
        <w:t xml:space="preserve">for </w:t>
      </w:r>
      <w:r>
        <w:t>bias</w:t>
      </w:r>
      <w:r w:rsidR="009C64DD">
        <w:t xml:space="preserve"> </w:t>
      </w:r>
      <w:r w:rsidR="00607172">
        <w:t>resulting</w:t>
      </w:r>
      <w:r w:rsidR="009C64DD">
        <w:t xml:space="preserve"> from the</w:t>
      </w:r>
      <w:r w:rsidR="00D06FB8">
        <w:t xml:space="preserve"> </w:t>
      </w:r>
      <w:r w:rsidR="002572B8">
        <w:t>different</w:t>
      </w:r>
      <w:r w:rsidR="00F05CE2">
        <w:t xml:space="preserve"> </w:t>
      </w:r>
      <w:r w:rsidR="004E5008">
        <w:t>M</w:t>
      </w:r>
      <w:r w:rsidR="00C103ED">
        <w:t>W</w:t>
      </w:r>
      <w:r w:rsidR="004E5008">
        <w:t xml:space="preserve"> size</w:t>
      </w:r>
      <w:r w:rsidR="00FE534E">
        <w:t>s</w:t>
      </w:r>
      <w:r w:rsidR="004E5008">
        <w:t xml:space="preserve"> of </w:t>
      </w:r>
      <w:r w:rsidR="00D42EEF">
        <w:t>available expansion resources</w:t>
      </w:r>
      <w:r>
        <w:t>, a unit size of 300 MW was considered for all technologies. The model adds resources in multiples of 300 MW.</w:t>
      </w:r>
    </w:p>
    <w:p w14:paraId="320EC84D" w14:textId="2772E094" w:rsidR="0062177C" w:rsidRDefault="0062177C" w:rsidP="00D86E63">
      <w:pPr>
        <w:pStyle w:val="Heading3"/>
      </w:pPr>
      <w:bookmarkStart w:id="20" w:name="_Toc188405633"/>
      <w:r>
        <w:t>3.6.3 Fuel Availability</w:t>
      </w:r>
      <w:bookmarkEnd w:id="20"/>
    </w:p>
    <w:p w14:paraId="594A3E5A" w14:textId="3AA18C73" w:rsidR="00763A05" w:rsidRPr="0062177C" w:rsidRDefault="004E0089" w:rsidP="00D86E63">
      <w:r>
        <w:t xml:space="preserve">The natural gas pipelines serving the Company region have become increasingly constrained and less flexible in recent years. </w:t>
      </w:r>
      <w:r w:rsidR="00A121C1">
        <w:t>These constraints</w:t>
      </w:r>
      <w:r w:rsidR="00BD2250">
        <w:t xml:space="preserve"> limit the amount of swing and daily imbalance through frequent issuance of daily Operational Flow Orders (i.e., curtailment of gas supply)</w:t>
      </w:r>
      <w:r w:rsidR="00BA067A">
        <w:t xml:space="preserve">. </w:t>
      </w:r>
      <w:r w:rsidR="00C67E89">
        <w:t>In addition, the ability to expand and construct new pipeline infrastructure has been challenging</w:t>
      </w:r>
      <w:r w:rsidR="0086046E">
        <w:t xml:space="preserve">. </w:t>
      </w:r>
      <w:r w:rsidR="0058713F">
        <w:t>Given</w:t>
      </w:r>
      <w:r w:rsidR="00CD0487">
        <w:t xml:space="preserve"> the current operational realities and</w:t>
      </w:r>
      <w:r w:rsidR="00070110" w:rsidRPr="00070110">
        <w:t xml:space="preserve"> the challenges facing the pipeline infrastructure industry, the Company applied a limit on new </w:t>
      </w:r>
      <w:r w:rsidR="00C17795">
        <w:t>NG</w:t>
      </w:r>
      <w:r w:rsidR="00070110" w:rsidRPr="00070110">
        <w:t>CCs in the model</w:t>
      </w:r>
      <w:r w:rsidR="00493D0E">
        <w:t>. In addition, the Company</w:t>
      </w:r>
      <w:r w:rsidR="000F192A">
        <w:t xml:space="preserve"> </w:t>
      </w:r>
      <w:r w:rsidR="00926E20">
        <w:t xml:space="preserve">assumes the most reliable </w:t>
      </w:r>
      <w:r w:rsidR="00926E20">
        <w:lastRenderedPageBreak/>
        <w:t>operational plan</w:t>
      </w:r>
      <w:r w:rsidR="00B0078C">
        <w:t xml:space="preserve"> </w:t>
      </w:r>
      <w:r w:rsidR="00D56988">
        <w:t xml:space="preserve">is </w:t>
      </w:r>
      <w:r w:rsidR="00B0078C">
        <w:t xml:space="preserve">for new generic expansion CTs to be </w:t>
      </w:r>
      <w:proofErr w:type="gramStart"/>
      <w:r w:rsidR="00B0078C">
        <w:t>dual-fueled</w:t>
      </w:r>
      <w:proofErr w:type="gramEnd"/>
      <w:r w:rsidR="008A70CA">
        <w:t xml:space="preserve"> with the ability to </w:t>
      </w:r>
      <w:r w:rsidR="00E15CA0">
        <w:t xml:space="preserve">burn fuel oil </w:t>
      </w:r>
      <w:r w:rsidR="00E95EEB">
        <w:t>year round</w:t>
      </w:r>
      <w:r w:rsidR="00D56988">
        <w:t>,</w:t>
      </w:r>
      <w:r w:rsidR="00BF3D06">
        <w:t xml:space="preserve"> </w:t>
      </w:r>
      <w:r w:rsidR="0084001A">
        <w:t xml:space="preserve">but </w:t>
      </w:r>
      <w:r w:rsidR="00BF3D06">
        <w:t>augmented</w:t>
      </w:r>
      <w:r w:rsidR="003B4404">
        <w:t xml:space="preserve"> with natural gas when it is available</w:t>
      </w:r>
      <w:r w:rsidR="00070110" w:rsidRPr="00070110">
        <w:t xml:space="preserve">. </w:t>
      </w:r>
      <w:r w:rsidR="00AA2E88">
        <w:t xml:space="preserve">For generic </w:t>
      </w:r>
      <w:r w:rsidR="00C17795">
        <w:t>NG</w:t>
      </w:r>
      <w:r w:rsidR="00AA2E88">
        <w:t xml:space="preserve">CCs, </w:t>
      </w:r>
      <w:r w:rsidR="00C70F16">
        <w:t>t</w:t>
      </w:r>
      <w:r w:rsidR="00070110" w:rsidRPr="00070110">
        <w:t xml:space="preserve">he Company assumed natural gas </w:t>
      </w:r>
      <w:r w:rsidR="0084001A">
        <w:t>FT</w:t>
      </w:r>
      <w:r w:rsidR="00070110" w:rsidRPr="00070110">
        <w:t xml:space="preserve"> used for existing units would be available to use for new </w:t>
      </w:r>
      <w:r w:rsidR="00587534">
        <w:t xml:space="preserve">generic </w:t>
      </w:r>
      <w:r w:rsidR="00C17795">
        <w:t>NG</w:t>
      </w:r>
      <w:r w:rsidR="00070110" w:rsidRPr="00070110">
        <w:t xml:space="preserve">CCs as </w:t>
      </w:r>
      <w:r w:rsidR="004A4A11" w:rsidRPr="00070110">
        <w:t xml:space="preserve">either </w:t>
      </w:r>
      <w:r w:rsidR="00070110" w:rsidRPr="00070110">
        <w:t xml:space="preserve">existing units </w:t>
      </w:r>
      <w:proofErr w:type="gramStart"/>
      <w:r w:rsidR="00070110" w:rsidRPr="00070110">
        <w:t>retire</w:t>
      </w:r>
      <w:proofErr w:type="gramEnd"/>
      <w:r w:rsidR="00070110" w:rsidRPr="00070110">
        <w:t xml:space="preserve"> or power purchase agreement</w:t>
      </w:r>
      <w:r w:rsidR="00070110">
        <w:t>s</w:t>
      </w:r>
      <w:r w:rsidR="00070110" w:rsidRPr="00070110">
        <w:t xml:space="preserve"> (“PPA”) expire. Beyond this FT, based on recent industry experience and its own judgement, </w:t>
      </w:r>
      <w:r w:rsidR="0055691C" w:rsidRPr="0055691C">
        <w:rPr>
          <w:b/>
          <w:bCs/>
        </w:rPr>
        <w:t>REDACTED</w:t>
      </w:r>
      <w:r w:rsidR="0055691C">
        <w:rPr>
          <w:b/>
          <w:bCs/>
        </w:rPr>
        <w:t xml:space="preserve"> </w:t>
      </w:r>
      <w:proofErr w:type="spellStart"/>
      <w:r w:rsidR="0055691C" w:rsidRPr="0055691C">
        <w:rPr>
          <w:b/>
          <w:bCs/>
        </w:rPr>
        <w:t>REDACTED</w:t>
      </w:r>
      <w:proofErr w:type="spellEnd"/>
      <w:r w:rsidR="0055691C" w:rsidRPr="0055691C">
        <w:rPr>
          <w:b/>
          <w:bCs/>
        </w:rPr>
        <w:t xml:space="preserve"> </w:t>
      </w:r>
      <w:proofErr w:type="spellStart"/>
      <w:r w:rsidR="0055691C" w:rsidRPr="0055691C">
        <w:rPr>
          <w:b/>
          <w:bCs/>
        </w:rPr>
        <w:t>REDACTED</w:t>
      </w:r>
      <w:proofErr w:type="spellEnd"/>
      <w:r w:rsidR="0055691C">
        <w:rPr>
          <w:b/>
          <w:bCs/>
        </w:rPr>
        <w:t xml:space="preserve"> </w:t>
      </w:r>
      <w:proofErr w:type="spellStart"/>
      <w:r w:rsidR="0055691C" w:rsidRPr="0055691C">
        <w:rPr>
          <w:b/>
          <w:bCs/>
        </w:rPr>
        <w:t>REDACTED</w:t>
      </w:r>
      <w:proofErr w:type="spellEnd"/>
      <w:r w:rsidR="0055691C" w:rsidRPr="0055691C">
        <w:rPr>
          <w:b/>
          <w:bCs/>
        </w:rPr>
        <w:t xml:space="preserve"> </w:t>
      </w:r>
      <w:proofErr w:type="spellStart"/>
      <w:r w:rsidR="0055691C"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723347" w:rsidRPr="00723347">
        <w:rPr>
          <w:b/>
          <w:bCs/>
        </w:rPr>
        <w:t xml:space="preserve"> </w:t>
      </w:r>
      <w:proofErr w:type="spellStart"/>
      <w:r w:rsidR="00723347" w:rsidRPr="0055691C">
        <w:rPr>
          <w:b/>
          <w:bCs/>
        </w:rPr>
        <w:t>REDACTED</w:t>
      </w:r>
      <w:proofErr w:type="spellEnd"/>
      <w:r w:rsidR="00070110" w:rsidRPr="00070110">
        <w:t>. Applying this methodology resulted in a limit of</w:t>
      </w:r>
      <w:r w:rsidR="00723347" w:rsidRPr="00723347">
        <w:rPr>
          <w:b/>
          <w:bCs/>
        </w:rPr>
        <w:t xml:space="preserve"> </w:t>
      </w:r>
      <w:r w:rsidR="00723347" w:rsidRPr="00723347">
        <w:rPr>
          <w:b/>
          <w:bCs/>
          <w:sz w:val="20"/>
          <w:szCs w:val="20"/>
        </w:rPr>
        <w:t xml:space="preserve">REDACTED </w:t>
      </w:r>
      <w:proofErr w:type="spellStart"/>
      <w:r w:rsidR="00723347" w:rsidRPr="00723347">
        <w:rPr>
          <w:b/>
          <w:bCs/>
          <w:sz w:val="20"/>
          <w:szCs w:val="20"/>
        </w:rPr>
        <w:t>REDACTED</w:t>
      </w:r>
      <w:proofErr w:type="spellEnd"/>
      <w:r w:rsidR="00723347" w:rsidRPr="00723347">
        <w:rPr>
          <w:b/>
          <w:bCs/>
          <w:sz w:val="20"/>
          <w:szCs w:val="20"/>
        </w:rPr>
        <w:t xml:space="preserve"> </w:t>
      </w:r>
      <w:proofErr w:type="spellStart"/>
      <w:r w:rsidR="00723347" w:rsidRPr="00723347">
        <w:rPr>
          <w:b/>
          <w:bCs/>
          <w:sz w:val="20"/>
          <w:szCs w:val="20"/>
        </w:rPr>
        <w:t>REDACTED</w:t>
      </w:r>
      <w:proofErr w:type="spellEnd"/>
      <w:r w:rsidR="00723347" w:rsidRPr="00723347">
        <w:rPr>
          <w:b/>
          <w:bCs/>
          <w:sz w:val="20"/>
          <w:szCs w:val="20"/>
        </w:rPr>
        <w:t xml:space="preserve"> </w:t>
      </w:r>
      <w:proofErr w:type="spellStart"/>
      <w:r w:rsidR="00723347" w:rsidRPr="00723347">
        <w:rPr>
          <w:b/>
          <w:bCs/>
          <w:sz w:val="20"/>
          <w:szCs w:val="20"/>
        </w:rPr>
        <w:t>REDACTED</w:t>
      </w:r>
      <w:proofErr w:type="spellEnd"/>
      <w:r w:rsidR="00070110" w:rsidRPr="00070110">
        <w:t xml:space="preserve">. While this constraint may limit new </w:t>
      </w:r>
      <w:r w:rsidR="00C17795">
        <w:t>NG</w:t>
      </w:r>
      <w:r w:rsidR="00070110" w:rsidRPr="00070110">
        <w:t xml:space="preserve">CC selection in some years, overall, there is enough FT between existing FT becoming available and the new FT to add approximately </w:t>
      </w:r>
      <w:r w:rsidR="00723347" w:rsidRPr="00723347">
        <w:rPr>
          <w:b/>
          <w:bCs/>
        </w:rPr>
        <w:t>REDACTED</w:t>
      </w:r>
      <w:r w:rsidR="00763A05">
        <w:t xml:space="preserve"> of new </w:t>
      </w:r>
      <w:r w:rsidR="00C17795">
        <w:t>NG</w:t>
      </w:r>
      <w:r w:rsidR="00763A05">
        <w:t>CCs</w:t>
      </w:r>
      <w:r w:rsidR="00070110" w:rsidRPr="00070110">
        <w:t xml:space="preserve"> by 2050.</w:t>
      </w:r>
      <w:r w:rsidR="00C70F16">
        <w:t xml:space="preserve"> For generic CTs, </w:t>
      </w:r>
      <w:r w:rsidR="00A80107">
        <w:t xml:space="preserve">the Company assumed </w:t>
      </w:r>
      <w:r w:rsidR="00DE1A9C">
        <w:t xml:space="preserve">oil dispatch </w:t>
      </w:r>
      <w:r w:rsidR="00B6326C">
        <w:t>during the winter months (December, January, and February)</w:t>
      </w:r>
      <w:r w:rsidR="00D218CC">
        <w:t xml:space="preserve"> and assumed natural gas dispatch for the remainder of the year.</w:t>
      </w:r>
    </w:p>
    <w:p w14:paraId="097B386E" w14:textId="77777777" w:rsidR="00FD6D23" w:rsidRDefault="00FD6D23" w:rsidP="00D86E63">
      <w:pPr>
        <w:pStyle w:val="Heading1"/>
      </w:pPr>
      <w:bookmarkStart w:id="21" w:name="_Toc188405634"/>
      <w:r>
        <w:t>4 Base Case Generic Expansion Plan</w:t>
      </w:r>
      <w:bookmarkEnd w:id="21"/>
    </w:p>
    <w:p w14:paraId="70F5E41F" w14:textId="1E1C46D1" w:rsidR="009F464C" w:rsidRDefault="00FD6D23" w:rsidP="00D86E63">
      <w:r>
        <w:t xml:space="preserve">The Company produced </w:t>
      </w:r>
      <w:r w:rsidR="00AF3F2F">
        <w:t xml:space="preserve">a </w:t>
      </w:r>
      <w:r>
        <w:t xml:space="preserve">base case capacity addition schedule to be used as an input to the integrated resource planning process for the retail operating companies. </w:t>
      </w:r>
      <w:r w:rsidR="00ED648C">
        <w:t xml:space="preserve">This </w:t>
      </w:r>
      <w:r>
        <w:t>base case</w:t>
      </w:r>
      <w:r w:rsidDel="0073664A">
        <w:t xml:space="preserve"> </w:t>
      </w:r>
      <w:r>
        <w:t>reflect</w:t>
      </w:r>
      <w:r w:rsidR="00ED648C">
        <w:t>s</w:t>
      </w:r>
      <w:r>
        <w:t xml:space="preserve"> </w:t>
      </w:r>
      <w:r w:rsidR="00B96B08">
        <w:t>the</w:t>
      </w:r>
      <w:r w:rsidR="00841CBC">
        <w:t xml:space="preserve"> </w:t>
      </w:r>
      <w:r w:rsidR="0073664A">
        <w:t>scenario</w:t>
      </w:r>
      <w:r w:rsidR="00841CBC">
        <w:t xml:space="preserve"> with the 111 GHG Rules,</w:t>
      </w:r>
      <w:r w:rsidR="00B96B08">
        <w:t xml:space="preserve"> moderate gas, </w:t>
      </w:r>
      <w:r w:rsidR="00841CBC">
        <w:t xml:space="preserve">and </w:t>
      </w:r>
      <w:r w:rsidR="00B96B08">
        <w:t>zero-dollar carbon (“</w:t>
      </w:r>
      <w:r w:rsidR="0073664A">
        <w:t>111-</w:t>
      </w:r>
      <w:r w:rsidR="00B96B08">
        <w:t>MG0”)</w:t>
      </w:r>
      <w:r w:rsidR="00B96B08" w:rsidDel="0073664A">
        <w:t xml:space="preserve"> </w:t>
      </w:r>
      <w:r w:rsidR="0073664A">
        <w:t>views</w:t>
      </w:r>
      <w:r w:rsidR="00B96B08">
        <w:t xml:space="preserve">. </w:t>
      </w:r>
      <w:r w:rsidR="009F464C">
        <w:t>Figure</w:t>
      </w:r>
      <w:r w:rsidR="00EF00CE">
        <w:t> </w:t>
      </w:r>
      <w:r w:rsidR="00ED6289">
        <w:t>13</w:t>
      </w:r>
      <w:r w:rsidR="009F464C" w:rsidDel="00ED6289">
        <w:t xml:space="preserve"> </w:t>
      </w:r>
      <w:r w:rsidR="009F464C">
        <w:t>show</w:t>
      </w:r>
      <w:r w:rsidR="00ED6289">
        <w:t>s</w:t>
      </w:r>
      <w:r w:rsidR="009F464C">
        <w:t xml:space="preserve"> the recommended capacity and energy addition schedule for generic expansions.</w:t>
      </w:r>
    </w:p>
    <w:p w14:paraId="45FB9AD8" w14:textId="5EF07D99" w:rsidR="009F464C" w:rsidRDefault="00272B68" w:rsidP="00E62540">
      <w:pPr>
        <w:pStyle w:val="Caption"/>
      </w:pPr>
      <w:r w:rsidRPr="00E62540">
        <w:lastRenderedPageBreak/>
        <w:t>Figure 13</w:t>
      </w:r>
      <w:r w:rsidR="006D1E6D" w:rsidRPr="00E62540">
        <w:t xml:space="preserve">: </w:t>
      </w:r>
      <w:r w:rsidR="00F412CD" w:rsidRPr="00E62540">
        <w:t xml:space="preserve">B2025 </w:t>
      </w:r>
      <w:r w:rsidR="002B489D" w:rsidRPr="00E62540">
        <w:t>111-MG0</w:t>
      </w:r>
      <w:r w:rsidR="00464D8C" w:rsidRPr="00E62540">
        <w:t xml:space="preserve"> </w:t>
      </w:r>
      <w:r w:rsidR="002B489D" w:rsidRPr="00E62540">
        <w:t>Expansion Plan</w:t>
      </w:r>
    </w:p>
    <w:p w14:paraId="4CF0E964" w14:textId="4EF13750" w:rsidR="009F464C" w:rsidRDefault="006D1E6D" w:rsidP="006D1E6D">
      <w:pPr>
        <w:keepNext/>
      </w:pPr>
      <w:r w:rsidRPr="00587669">
        <w:rPr>
          <w:noProof/>
        </w:rPr>
        <w:drawing>
          <wp:inline distT="0" distB="0" distL="0" distR="0" wp14:anchorId="5437BD85" wp14:editId="4AD670A1">
            <wp:extent cx="5943600" cy="2712748"/>
            <wp:effectExtent l="0" t="0" r="0" b="0"/>
            <wp:docPr id="197333297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43600" cy="2712748"/>
                    </a:xfrm>
                    <a:prstGeom prst="rect">
                      <a:avLst/>
                    </a:prstGeom>
                    <a:noFill/>
                    <a:ln w="28575">
                      <a:noFill/>
                    </a:ln>
                  </pic:spPr>
                </pic:pic>
              </a:graphicData>
            </a:graphic>
          </wp:inline>
        </w:drawing>
      </w:r>
    </w:p>
    <w:p w14:paraId="4D0256B2" w14:textId="6CC2B1FF" w:rsidR="009F464C" w:rsidRDefault="009F464C" w:rsidP="00D86E63">
      <w:r>
        <w:t xml:space="preserve">The conclusion of this study, based upon the results of the </w:t>
      </w:r>
      <w:r w:rsidR="008C127A">
        <w:t>111-</w:t>
      </w:r>
      <w:r>
        <w:t>MG0</w:t>
      </w:r>
      <w:r w:rsidDel="00C834CE">
        <w:t xml:space="preserve"> </w:t>
      </w:r>
      <w:r>
        <w:t xml:space="preserve">case, is that additional generation capacity requirements may involve a mixture of natural gas </w:t>
      </w:r>
      <w:r w:rsidR="00CF59B8">
        <w:t>CC</w:t>
      </w:r>
      <w:r>
        <w:t xml:space="preserve"> (with and without CCS), dual-fuel </w:t>
      </w:r>
      <w:r w:rsidR="00CF59B8">
        <w:t>CT</w:t>
      </w:r>
      <w:r>
        <w:t xml:space="preserve"> with SCR, solar, wind, battery storage</w:t>
      </w:r>
      <w:r w:rsidR="009A3FD4">
        <w:t>, and nuclear</w:t>
      </w:r>
      <w:r>
        <w:t xml:space="preserve">. Additionally, the study concludes that near term capacity needs </w:t>
      </w:r>
      <w:r w:rsidR="00154986">
        <w:t>may</w:t>
      </w:r>
      <w:r>
        <w:t xml:space="preserve"> be met with a combination of battery storage, natural gas </w:t>
      </w:r>
      <w:r w:rsidR="008E0D67">
        <w:t>CC</w:t>
      </w:r>
      <w:r>
        <w:t xml:space="preserve">, and dual-fuel </w:t>
      </w:r>
      <w:r w:rsidR="008E0D67">
        <w:t>CT</w:t>
      </w:r>
      <w:r>
        <w:t xml:space="preserve"> with SCR. At the appropriate time, actual resource selection will occur in accordance with Commission rules. </w:t>
      </w:r>
    </w:p>
    <w:p w14:paraId="54390B95" w14:textId="5E228FEF" w:rsidR="009F464C" w:rsidRDefault="009F464C" w:rsidP="00D86E63">
      <w:r>
        <w:t xml:space="preserve">Please see Resource Mix Study </w:t>
      </w:r>
      <w:r w:rsidR="008D2BF5">
        <w:t>“</w:t>
      </w:r>
      <w:r>
        <w:t>GPC and System IRP Summary Data</w:t>
      </w:r>
      <w:r w:rsidR="00210FB3">
        <w:t xml:space="preserve"> TRADE SECRET.xlsx”</w:t>
      </w:r>
      <w:r>
        <w:t xml:space="preserve"> for additional summary information regarding the Georgia Power and System capacity, peak demands and energies, actual and target reserve margins, and capacity needs. </w:t>
      </w:r>
    </w:p>
    <w:p w14:paraId="10837729" w14:textId="77777777" w:rsidR="009F464C" w:rsidRDefault="009F464C" w:rsidP="00D86E63">
      <w:pPr>
        <w:pStyle w:val="Heading1"/>
      </w:pPr>
      <w:bookmarkStart w:id="22" w:name="_Toc188405635"/>
      <w:r>
        <w:t>5 Scenario Analysis Results</w:t>
      </w:r>
      <w:bookmarkEnd w:id="22"/>
    </w:p>
    <w:p w14:paraId="34CEB9BA" w14:textId="77777777" w:rsidR="009F464C" w:rsidRDefault="009F464C" w:rsidP="00D86E63">
      <w:pPr>
        <w:pStyle w:val="Heading2"/>
      </w:pPr>
      <w:bookmarkStart w:id="23" w:name="_Toc188405636"/>
      <w:r>
        <w:t>5.1 Planning Scenario Cases</w:t>
      </w:r>
      <w:bookmarkEnd w:id="23"/>
    </w:p>
    <w:p w14:paraId="4C01B47F" w14:textId="2051FF13" w:rsidR="00936D6C" w:rsidRDefault="00936D6C" w:rsidP="00D86E63">
      <w:r>
        <w:t xml:space="preserve">As described in Section 2, </w:t>
      </w:r>
      <w:r w:rsidR="007B133E">
        <w:t xml:space="preserve">the Company considers multiple views of the future to account </w:t>
      </w:r>
      <w:r w:rsidR="00131380">
        <w:t>for</w:t>
      </w:r>
      <w:r w:rsidR="00F87C2E">
        <w:t xml:space="preserve"> </w:t>
      </w:r>
      <w:r w:rsidR="009F464C">
        <w:t>uncertaint</w:t>
      </w:r>
      <w:r w:rsidR="004A3D01">
        <w:t>ies</w:t>
      </w:r>
      <w:r w:rsidR="009F464C">
        <w:t xml:space="preserve"> related to long term fuel cost, carbon pressure, technology cost and performance, and future electricity consumption</w:t>
      </w:r>
      <w:r>
        <w:t>. These futures include</w:t>
      </w:r>
      <w:r w:rsidDel="00985534">
        <w:t xml:space="preserve"> </w:t>
      </w:r>
      <w:r w:rsidR="00985534">
        <w:t xml:space="preserve">variations </w:t>
      </w:r>
      <w:r>
        <w:t>in future natural gas prices, future pressure on the Company’s CO</w:t>
      </w:r>
      <w:r w:rsidRPr="0091441A">
        <w:rPr>
          <w:vertAlign w:val="subscript"/>
        </w:rPr>
        <w:t>2</w:t>
      </w:r>
      <w:r>
        <w:t xml:space="preserve"> emissions, future cost and performance of generating technologies, and future electricity consumption. For the 2025 IRP, the Company assembled views in those four </w:t>
      </w:r>
      <w:r>
        <w:lastRenderedPageBreak/>
        <w:t xml:space="preserve">areas into </w:t>
      </w:r>
      <w:r w:rsidR="00DA67E6">
        <w:t xml:space="preserve">nine </w:t>
      </w:r>
      <w:r>
        <w:t xml:space="preserve">planning scenario cases to explore the potential impacts. This resulted in </w:t>
      </w:r>
      <w:r w:rsidR="00DA67E6">
        <w:t xml:space="preserve">nine </w:t>
      </w:r>
      <w:r>
        <w:t xml:space="preserve">outlooks of capacity and energy mixes, as reflected in Table 1. </w:t>
      </w:r>
    </w:p>
    <w:p w14:paraId="6EBF27DB" w14:textId="77777777" w:rsidR="00936D6C" w:rsidRDefault="00936D6C" w:rsidP="00D86E63">
      <w:pPr>
        <w:pStyle w:val="Heading2"/>
      </w:pPr>
      <w:bookmarkStart w:id="24" w:name="_Toc188405637"/>
      <w:r>
        <w:t>5.2 Results Summary</w:t>
      </w:r>
      <w:bookmarkEnd w:id="24"/>
    </w:p>
    <w:p w14:paraId="37E5871A" w14:textId="4A1630DA" w:rsidR="00936D6C" w:rsidRDefault="00936D6C" w:rsidP="00D86E63">
      <w:r>
        <w:t xml:space="preserve">The results of the Resource Mix Study provide an economically optimum resource addition schedule for the retail operating companies, based on the various futures described in Section 2. These results provide an indicative roadmap for long-term decisions based on future uncertainties. </w:t>
      </w:r>
    </w:p>
    <w:p w14:paraId="7EE25DCE" w14:textId="6F4BD9E6" w:rsidR="00936D6C" w:rsidRDefault="00936D6C" w:rsidP="00D86E63">
      <w:r>
        <w:t xml:space="preserve">The results of the scenario analysis </w:t>
      </w:r>
      <w:r w:rsidR="00294C65">
        <w:t>are</w:t>
      </w:r>
      <w:r>
        <w:t xml:space="preserve"> broken into two sections, near-term and long-term optimum resource mix. Figure </w:t>
      </w:r>
      <w:r w:rsidR="00DA67E6">
        <w:t>1</w:t>
      </w:r>
      <w:r w:rsidR="00C5426E">
        <w:t>4</w:t>
      </w:r>
      <w:r>
        <w:t xml:space="preserve"> shows the</w:t>
      </w:r>
      <w:r w:rsidR="00BD33CF">
        <w:t xml:space="preserve"> System</w:t>
      </w:r>
      <w:r>
        <w:t xml:space="preserve"> cumulative build by 2034 and details the near-term optimal capacity and energy expansion plan for all </w:t>
      </w:r>
      <w:r w:rsidR="00390313">
        <w:t xml:space="preserve">nine </w:t>
      </w:r>
      <w:r>
        <w:t xml:space="preserve">scenarios. Based on the scenario results, it can be concluded that additional generation capacity requirements </w:t>
      </w:r>
      <w:r w:rsidR="00F87C2E">
        <w:t>in the near-term</w:t>
      </w:r>
      <w:r>
        <w:t xml:space="preserve"> may involve a mixture of natural gas </w:t>
      </w:r>
      <w:r w:rsidR="00390313">
        <w:t>CC</w:t>
      </w:r>
      <w:r>
        <w:t xml:space="preserve">, dual-fuel </w:t>
      </w:r>
      <w:r w:rsidR="00390313">
        <w:t>CT</w:t>
      </w:r>
      <w:r>
        <w:t xml:space="preserve"> with SCR, solar, wind, and battery storage. </w:t>
      </w:r>
    </w:p>
    <w:p w14:paraId="59F9F514" w14:textId="2A99B5F0" w:rsidR="00936D6C" w:rsidRDefault="00274134" w:rsidP="00A65265">
      <w:pPr>
        <w:pStyle w:val="Caption"/>
      </w:pPr>
      <w:r w:rsidRPr="0024397B">
        <w:t>Figure 1</w:t>
      </w:r>
      <w:r w:rsidR="00C5426E">
        <w:t>4</w:t>
      </w:r>
      <w:r w:rsidR="00625F35" w:rsidRPr="0024397B">
        <w:t xml:space="preserve">: </w:t>
      </w:r>
      <w:r w:rsidR="0020798C" w:rsidRPr="0024397B">
        <w:t xml:space="preserve">B2025 </w:t>
      </w:r>
      <w:r w:rsidR="00625F35" w:rsidRPr="0024397B">
        <w:t xml:space="preserve">Generic Expansion Plan </w:t>
      </w:r>
      <w:r w:rsidR="0020798C" w:rsidRPr="0024397B">
        <w:t>Resul</w:t>
      </w:r>
      <w:r w:rsidR="000F4B85" w:rsidRPr="0024397B">
        <w:t>t</w:t>
      </w:r>
      <w:r w:rsidR="0020798C" w:rsidRPr="0024397B">
        <w:t xml:space="preserve">s – </w:t>
      </w:r>
      <w:r w:rsidR="00625F35" w:rsidRPr="0024397B">
        <w:t>Cumulative MW (2025-2034)</w:t>
      </w:r>
      <w:r w:rsidR="00272B68" w:rsidRPr="0024397B">
        <w:rPr>
          <w:noProof/>
        </w:rPr>
        <w:drawing>
          <wp:inline distT="0" distB="0" distL="0" distR="0" wp14:anchorId="2930E69C" wp14:editId="13FF5FC8">
            <wp:extent cx="5943600" cy="3115962"/>
            <wp:effectExtent l="0" t="0" r="0" b="0"/>
            <wp:docPr id="86280801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43600" cy="3115962"/>
                    </a:xfrm>
                    <a:prstGeom prst="rect">
                      <a:avLst/>
                    </a:prstGeom>
                    <a:noFill/>
                    <a:ln w="28575">
                      <a:noFill/>
                    </a:ln>
                  </pic:spPr>
                </pic:pic>
              </a:graphicData>
            </a:graphic>
          </wp:inline>
        </w:drawing>
      </w:r>
    </w:p>
    <w:p w14:paraId="55863CE3" w14:textId="6D1614B7" w:rsidR="00936D6C" w:rsidRDefault="00936D6C" w:rsidP="00D86E63">
      <w:r>
        <w:t xml:space="preserve">Based on the results of the study, immediate capacity needs are optimally met with a combination of storage, CTs, and CCs. In </w:t>
      </w:r>
      <w:r w:rsidR="00F20AD4">
        <w:t>all nine</w:t>
      </w:r>
      <w:r>
        <w:t xml:space="preserve"> scenarios, storage is selected as early as 2028</w:t>
      </w:r>
      <w:r w:rsidR="77CD5E1E">
        <w:t>.</w:t>
      </w:r>
      <w:r>
        <w:t xml:space="preserve"> All </w:t>
      </w:r>
      <w:r w:rsidR="00151280">
        <w:t xml:space="preserve">nine </w:t>
      </w:r>
      <w:r>
        <w:t>scenarios include a mix of thermal units, renewables, and storage</w:t>
      </w:r>
      <w:r w:rsidR="00F87C2E">
        <w:t>,</w:t>
      </w:r>
      <w:r>
        <w:t xml:space="preserve"> regardless of variation in input assumptions. </w:t>
      </w:r>
    </w:p>
    <w:p w14:paraId="466C4DF5" w14:textId="0CAA7AA4" w:rsidR="00936D6C" w:rsidRDefault="00936D6C" w:rsidP="00D86E63">
      <w:r>
        <w:t>A long-term look at the</w:t>
      </w:r>
      <w:r w:rsidR="00BD33CF">
        <w:t xml:space="preserve"> System</w:t>
      </w:r>
      <w:r>
        <w:t xml:space="preserve"> scenario analysis </w:t>
      </w:r>
      <w:r w:rsidR="00122A73">
        <w:t>offers</w:t>
      </w:r>
      <w:r>
        <w:t xml:space="preserve"> similar conclusions. Figure </w:t>
      </w:r>
      <w:r w:rsidR="0035578A">
        <w:t>1</w:t>
      </w:r>
      <w:r w:rsidR="00CB468A">
        <w:t>5</w:t>
      </w:r>
      <w:r>
        <w:t xml:space="preserve"> shows the cumulative build by 2044 for </w:t>
      </w:r>
      <w:r w:rsidR="00592E0A">
        <w:t xml:space="preserve">the </w:t>
      </w:r>
      <w:r w:rsidR="0035578A">
        <w:t xml:space="preserve">nine </w:t>
      </w:r>
      <w:r>
        <w:t xml:space="preserve">scenarios. </w:t>
      </w:r>
      <w:r w:rsidR="00B70960">
        <w:t xml:space="preserve">In addition </w:t>
      </w:r>
      <w:r w:rsidR="003C3232">
        <w:t>to</w:t>
      </w:r>
      <w:r w:rsidR="00B70960">
        <w:t xml:space="preserve"> </w:t>
      </w:r>
      <w:r w:rsidR="003C3232">
        <w:t>storage, CTs</w:t>
      </w:r>
      <w:r w:rsidR="008B4F0F">
        <w:t>,</w:t>
      </w:r>
      <w:r w:rsidR="003C3232">
        <w:t xml:space="preserve"> and CCs, a</w:t>
      </w:r>
      <w:r w:rsidR="00B70960">
        <w:t xml:space="preserve">ll scenarios </w:t>
      </w:r>
      <w:r w:rsidR="00B70960">
        <w:lastRenderedPageBreak/>
        <w:t>show substantial additions of solar and wind resources to be cost</w:t>
      </w:r>
      <w:r w:rsidR="008B4F0F">
        <w:t>-</w:t>
      </w:r>
      <w:r w:rsidR="00B70960">
        <w:t xml:space="preserve">effective through the planning period. </w:t>
      </w:r>
      <w:r w:rsidR="0087328B">
        <w:t xml:space="preserve">Nuclear shows up in all the scenarios that include GHG pressure, including all the 111 GHG Rules scenarios. </w:t>
      </w:r>
      <w:r w:rsidR="005C53E0">
        <w:t>T</w:t>
      </w:r>
      <w:r>
        <w:t xml:space="preserve">he </w:t>
      </w:r>
      <w:r w:rsidR="0087328B">
        <w:t>results also indicate that</w:t>
      </w:r>
      <w:r>
        <w:t xml:space="preserve"> natural gas </w:t>
      </w:r>
      <w:r w:rsidR="0035578A">
        <w:t>CC</w:t>
      </w:r>
      <w:r>
        <w:t xml:space="preserve"> with</w:t>
      </w:r>
      <w:r w:rsidDel="007D7240">
        <w:t xml:space="preserve"> </w:t>
      </w:r>
      <w:r w:rsidR="007D7240">
        <w:t>CCS</w:t>
      </w:r>
      <w:r w:rsidR="000F1C42">
        <w:t xml:space="preserve"> and medium duration storage</w:t>
      </w:r>
      <w:r w:rsidR="007D7240">
        <w:t xml:space="preserve"> </w:t>
      </w:r>
      <w:r>
        <w:t xml:space="preserve">may be </w:t>
      </w:r>
      <w:r w:rsidR="00AD1A38">
        <w:t xml:space="preserve">cost effective </w:t>
      </w:r>
      <w:r>
        <w:t>to</w:t>
      </w:r>
      <w:r w:rsidR="009537AA">
        <w:t xml:space="preserve"> help</w:t>
      </w:r>
      <w:r>
        <w:t xml:space="preserve"> meet generation </w:t>
      </w:r>
      <w:r w:rsidR="008E5C28">
        <w:t xml:space="preserve">and </w:t>
      </w:r>
      <w:r>
        <w:t xml:space="preserve">capacity </w:t>
      </w:r>
      <w:r w:rsidR="00DE66FB">
        <w:t xml:space="preserve">needs </w:t>
      </w:r>
      <w:r>
        <w:t xml:space="preserve">based on various futures. </w:t>
      </w:r>
    </w:p>
    <w:p w14:paraId="66FEB241" w14:textId="11FA7437" w:rsidR="00936D6C" w:rsidRDefault="00274134" w:rsidP="00A65265">
      <w:pPr>
        <w:pStyle w:val="Caption"/>
      </w:pPr>
      <w:r w:rsidRPr="00121682">
        <w:t>Figure 1</w:t>
      </w:r>
      <w:r w:rsidR="004D5AC6">
        <w:t>5</w:t>
      </w:r>
      <w:r w:rsidRPr="00121682">
        <w:t xml:space="preserve">: </w:t>
      </w:r>
      <w:r w:rsidR="006F39E2" w:rsidRPr="00121682">
        <w:t xml:space="preserve">B2025 </w:t>
      </w:r>
      <w:r w:rsidRPr="00121682">
        <w:t xml:space="preserve">Generic Expansion Plan </w:t>
      </w:r>
      <w:r w:rsidR="006F39E2" w:rsidRPr="00121682">
        <w:t>Results –</w:t>
      </w:r>
      <w:r w:rsidRPr="00121682">
        <w:t xml:space="preserve"> </w:t>
      </w:r>
      <w:r w:rsidR="00625F35" w:rsidRPr="00121682">
        <w:t>Cumulative MW (2025-2044)</w:t>
      </w:r>
      <w:r w:rsidR="008A505F">
        <w:rPr>
          <w:noProof/>
        </w:rPr>
        <w:drawing>
          <wp:inline distT="0" distB="0" distL="0" distR="0" wp14:anchorId="3083685B" wp14:editId="71D80635">
            <wp:extent cx="5943600" cy="2945765"/>
            <wp:effectExtent l="0" t="0" r="0" b="0"/>
            <wp:docPr id="11964016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3600" cy="2945765"/>
                    </a:xfrm>
                    <a:prstGeom prst="rect">
                      <a:avLst/>
                    </a:prstGeom>
                    <a:noFill/>
                    <a:ln w="28575">
                      <a:noFill/>
                    </a:ln>
                  </pic:spPr>
                </pic:pic>
              </a:graphicData>
            </a:graphic>
          </wp:inline>
        </w:drawing>
      </w:r>
    </w:p>
    <w:p w14:paraId="1FC33CC6" w14:textId="0E673008" w:rsidR="006962F4" w:rsidRPr="006962F4" w:rsidRDefault="00936D6C" w:rsidP="00D86E63">
      <w:r>
        <w:t xml:space="preserve">Please see Resource Mix Study </w:t>
      </w:r>
      <w:r w:rsidR="003F4798">
        <w:t>“</w:t>
      </w:r>
      <w:r>
        <w:t>Capacity Expansion Plans</w:t>
      </w:r>
      <w:r w:rsidR="003F4798">
        <w:t xml:space="preserve"> TRADE SECRET.xlsx”</w:t>
      </w:r>
      <w:r>
        <w:t xml:space="preserve"> for a summary of results for analyses around all </w:t>
      </w:r>
      <w:r w:rsidR="00274134">
        <w:t xml:space="preserve">nine </w:t>
      </w:r>
      <w:r>
        <w:t xml:space="preserve">scenarios. </w:t>
      </w:r>
    </w:p>
    <w:sectPr w:rsidR="006962F4" w:rsidRPr="006962F4">
      <w:headerReference w:type="default" r:id="rId3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2A5905B" w14:textId="77777777" w:rsidR="00824134" w:rsidRDefault="00824134" w:rsidP="008C127A">
      <w:r>
        <w:separator/>
      </w:r>
    </w:p>
  </w:endnote>
  <w:endnote w:type="continuationSeparator" w:id="0">
    <w:p w14:paraId="3BBEE7B3" w14:textId="77777777" w:rsidR="00824134" w:rsidRDefault="00824134" w:rsidP="00292EC0">
      <w:r>
        <w:continuationSeparator/>
      </w:r>
    </w:p>
  </w:endnote>
  <w:endnote w:type="continuationNotice" w:id="1">
    <w:p w14:paraId="0FB8E3E0" w14:textId="77777777" w:rsidR="00824134" w:rsidRDefault="00824134" w:rsidP="00235DC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Yu Gothic">
    <w:altName w:val="游ゴシック"/>
    <w:panose1 w:val="020B0400000000000000"/>
    <w:charset w:val="80"/>
    <w:family w:val="swiss"/>
    <w:pitch w:val="variable"/>
    <w:sig w:usb0="E00002FF" w:usb1="2AC7FDFF" w:usb2="00000016"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69839211"/>
      <w:docPartObj>
        <w:docPartGallery w:val="Page Numbers (Bottom of Page)"/>
        <w:docPartUnique/>
      </w:docPartObj>
    </w:sdtPr>
    <w:sdtEndPr>
      <w:rPr>
        <w:noProof/>
      </w:rPr>
    </w:sdtEndPr>
    <w:sdtContent>
      <w:p w14:paraId="0B64D46C" w14:textId="0234C680" w:rsidR="008519E6" w:rsidRDefault="008519E6" w:rsidP="009D09C6">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7529CF28" w14:textId="77777777" w:rsidR="008519E6" w:rsidRDefault="008519E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70B698B5" w14:paraId="17BCD043" w14:textId="77777777" w:rsidTr="009D09C6">
      <w:trPr>
        <w:trHeight w:val="300"/>
      </w:trPr>
      <w:tc>
        <w:tcPr>
          <w:tcW w:w="3120" w:type="dxa"/>
        </w:tcPr>
        <w:p w14:paraId="0D875514" w14:textId="36CDB55A" w:rsidR="70B698B5" w:rsidRDefault="70B698B5" w:rsidP="009D09C6">
          <w:pPr>
            <w:pStyle w:val="Header"/>
            <w:ind w:left="-115"/>
            <w:jc w:val="left"/>
          </w:pPr>
        </w:p>
      </w:tc>
      <w:tc>
        <w:tcPr>
          <w:tcW w:w="3120" w:type="dxa"/>
        </w:tcPr>
        <w:p w14:paraId="7AB895EB" w14:textId="58738F37" w:rsidR="70B698B5" w:rsidRDefault="70B698B5" w:rsidP="009D09C6">
          <w:pPr>
            <w:pStyle w:val="Header"/>
            <w:jc w:val="center"/>
          </w:pPr>
        </w:p>
      </w:tc>
      <w:tc>
        <w:tcPr>
          <w:tcW w:w="3120" w:type="dxa"/>
        </w:tcPr>
        <w:p w14:paraId="2490D609" w14:textId="0A4348AC" w:rsidR="70B698B5" w:rsidRDefault="70B698B5" w:rsidP="009D09C6">
          <w:pPr>
            <w:pStyle w:val="Header"/>
            <w:ind w:right="-115"/>
            <w:jc w:val="right"/>
          </w:pPr>
        </w:p>
      </w:tc>
    </w:tr>
  </w:tbl>
  <w:p w14:paraId="377E63CC" w14:textId="5792FE78" w:rsidR="00082A88" w:rsidRDefault="00082A8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01728820"/>
      <w:docPartObj>
        <w:docPartGallery w:val="Page Numbers (Bottom of Page)"/>
        <w:docPartUnique/>
      </w:docPartObj>
    </w:sdtPr>
    <w:sdtEndPr>
      <w:rPr>
        <w:noProof/>
      </w:rPr>
    </w:sdtEndPr>
    <w:sdtContent>
      <w:p w14:paraId="28619611" w14:textId="77777777" w:rsidR="0042091B" w:rsidRDefault="0042091B" w:rsidP="00383925">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42C6E01E" w14:textId="77777777" w:rsidR="0042091B" w:rsidRDefault="0042091B">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4386203"/>
      <w:docPartObj>
        <w:docPartGallery w:val="Page Numbers (Bottom of Page)"/>
        <w:docPartUnique/>
      </w:docPartObj>
    </w:sdtPr>
    <w:sdtEndPr>
      <w:rPr>
        <w:noProof/>
      </w:rPr>
    </w:sdtEndPr>
    <w:sdtContent>
      <w:p w14:paraId="672F8576" w14:textId="4F18B52C" w:rsidR="0042091B" w:rsidRDefault="0042091B" w:rsidP="0042091B">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04AFF7F" w14:textId="77777777" w:rsidR="0042091B" w:rsidRDefault="0042091B" w:rsidP="0042091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83697866"/>
      <w:docPartObj>
        <w:docPartGallery w:val="Page Numbers (Bottom of Page)"/>
        <w:docPartUnique/>
      </w:docPartObj>
    </w:sdtPr>
    <w:sdtEndPr>
      <w:rPr>
        <w:noProof/>
      </w:rPr>
    </w:sdtEndPr>
    <w:sdtContent>
      <w:p w14:paraId="3F40959E" w14:textId="77777777" w:rsidR="0042091B" w:rsidRDefault="0042091B" w:rsidP="0042091B">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2BB8A684" w14:textId="77777777" w:rsidR="0042091B" w:rsidRDefault="0042091B" w:rsidP="0042091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F4D9D37" w14:textId="77777777" w:rsidR="00824134" w:rsidRDefault="00824134" w:rsidP="00877AAB">
      <w:r>
        <w:separator/>
      </w:r>
    </w:p>
  </w:footnote>
  <w:footnote w:type="continuationSeparator" w:id="0">
    <w:p w14:paraId="2325177C" w14:textId="77777777" w:rsidR="00824134" w:rsidRDefault="00824134" w:rsidP="008C127A">
      <w:r>
        <w:continuationSeparator/>
      </w:r>
    </w:p>
  </w:footnote>
  <w:footnote w:type="continuationNotice" w:id="1">
    <w:p w14:paraId="41E2A854" w14:textId="77777777" w:rsidR="00824134" w:rsidRDefault="00824134" w:rsidP="00235DC2"/>
  </w:footnote>
  <w:footnote w:id="2">
    <w:p w14:paraId="0E0EE5C4" w14:textId="0105E541" w:rsidR="00127F71" w:rsidRPr="001E5D8F" w:rsidRDefault="00127F71" w:rsidP="00127F71">
      <w:pPr>
        <w:pStyle w:val="FootnoteText"/>
        <w:rPr>
          <w:rFonts w:asciiTheme="minorHAnsi" w:hAnsiTheme="minorHAnsi"/>
        </w:rPr>
      </w:pPr>
      <w:r w:rsidRPr="001E5D8F">
        <w:rPr>
          <w:rStyle w:val="FootnoteReference"/>
          <w:rFonts w:asciiTheme="minorHAnsi" w:hAnsiTheme="minorHAnsi"/>
        </w:rPr>
        <w:footnoteRef/>
      </w:r>
      <w:r w:rsidRPr="001E5D8F">
        <w:rPr>
          <w:rFonts w:asciiTheme="minorHAnsi" w:hAnsiTheme="minorHAnsi"/>
        </w:rPr>
        <w:t xml:space="preserve"> As referred to herein, carbon pressure, CO</w:t>
      </w:r>
      <w:r w:rsidRPr="001E5D8F">
        <w:rPr>
          <w:rFonts w:asciiTheme="minorHAnsi" w:hAnsiTheme="minorHAnsi"/>
          <w:vertAlign w:val="subscript"/>
        </w:rPr>
        <w:t>2</w:t>
      </w:r>
      <w:r w:rsidRPr="001E5D8F">
        <w:rPr>
          <w:rFonts w:asciiTheme="minorHAnsi" w:hAnsiTheme="minorHAnsi"/>
        </w:rPr>
        <w:t xml:space="preserve"> pressure, and GHG pressure are all used to refer to measures</w:t>
      </w:r>
      <w:r w:rsidR="00384FF5">
        <w:rPr>
          <w:rFonts w:asciiTheme="minorHAnsi" w:hAnsiTheme="minorHAnsi"/>
        </w:rPr>
        <w:t xml:space="preserve"> (e.g.</w:t>
      </w:r>
      <w:r w:rsidR="00FD128A">
        <w:rPr>
          <w:rFonts w:asciiTheme="minorHAnsi" w:hAnsiTheme="minorHAnsi"/>
        </w:rPr>
        <w:t>, taxes, penalties</w:t>
      </w:r>
      <w:r w:rsidR="0047405D">
        <w:rPr>
          <w:rFonts w:asciiTheme="minorHAnsi" w:hAnsiTheme="minorHAnsi"/>
        </w:rPr>
        <w:t>, regulation)</w:t>
      </w:r>
      <w:r w:rsidRPr="001E5D8F">
        <w:rPr>
          <w:rFonts w:asciiTheme="minorHAnsi" w:hAnsiTheme="minorHAnsi"/>
        </w:rPr>
        <w:t xml:space="preserve"> to </w:t>
      </w:r>
      <w:r w:rsidR="0038335D">
        <w:rPr>
          <w:rFonts w:asciiTheme="minorHAnsi" w:hAnsiTheme="minorHAnsi"/>
        </w:rPr>
        <w:t>induce</w:t>
      </w:r>
      <w:r w:rsidR="007D2C37">
        <w:rPr>
          <w:rFonts w:asciiTheme="minorHAnsi" w:hAnsiTheme="minorHAnsi"/>
        </w:rPr>
        <w:t xml:space="preserve"> reductions of</w:t>
      </w:r>
      <w:r w:rsidR="005F7E31" w:rsidRPr="001E5D8F">
        <w:rPr>
          <w:rFonts w:asciiTheme="minorHAnsi" w:hAnsiTheme="minorHAnsi"/>
        </w:rPr>
        <w:t xml:space="preserve"> </w:t>
      </w:r>
      <w:r w:rsidRPr="001E5D8F">
        <w:rPr>
          <w:rFonts w:asciiTheme="minorHAnsi" w:hAnsiTheme="minorHAnsi"/>
        </w:rPr>
        <w:t xml:space="preserve">GHG emissions </w:t>
      </w:r>
      <w:r w:rsidR="0038335D">
        <w:rPr>
          <w:rFonts w:asciiTheme="minorHAnsi" w:hAnsiTheme="minorHAnsi"/>
        </w:rPr>
        <w:t>from</w:t>
      </w:r>
      <w:r w:rsidR="0038335D" w:rsidRPr="001E5D8F">
        <w:rPr>
          <w:rFonts w:asciiTheme="minorHAnsi" w:hAnsiTheme="minorHAnsi"/>
        </w:rPr>
        <w:t xml:space="preserve"> </w:t>
      </w:r>
      <w:r w:rsidRPr="001E5D8F">
        <w:rPr>
          <w:rFonts w:asciiTheme="minorHAnsi" w:hAnsiTheme="minorHAnsi"/>
        </w:rPr>
        <w:t xml:space="preserve">the electric </w:t>
      </w:r>
      <w:r w:rsidR="00113C20">
        <w:rPr>
          <w:rFonts w:asciiTheme="minorHAnsi" w:hAnsiTheme="minorHAnsi"/>
        </w:rPr>
        <w:t>sector</w:t>
      </w:r>
      <w:r w:rsidRPr="001E5D8F">
        <w:rPr>
          <w:rFonts w:asciiTheme="minorHAnsi" w:hAnsiTheme="minorHAnsi"/>
        </w:rPr>
        <w:t>.</w:t>
      </w:r>
    </w:p>
  </w:footnote>
  <w:footnote w:id="3">
    <w:p w14:paraId="3B0A7557" w14:textId="7EED2E45" w:rsidR="00191358" w:rsidRPr="00861599" w:rsidRDefault="00191358" w:rsidP="00877AAB">
      <w:pPr>
        <w:pStyle w:val="FootnoteText"/>
        <w:ind w:left="-900"/>
        <w:rPr>
          <w:rFonts w:asciiTheme="minorHAnsi" w:hAnsiTheme="minorHAnsi"/>
        </w:rPr>
      </w:pPr>
      <w:r w:rsidRPr="00861599">
        <w:rPr>
          <w:rStyle w:val="FootnoteReference"/>
          <w:rFonts w:asciiTheme="minorHAnsi" w:eastAsiaTheme="majorEastAsia" w:hAnsiTheme="minorHAnsi" w:cs="Arial"/>
          <w:sz w:val="18"/>
          <w:szCs w:val="18"/>
        </w:rPr>
        <w:footnoteRef/>
      </w:r>
      <w:r w:rsidRPr="00861599">
        <w:rPr>
          <w:rFonts w:asciiTheme="minorHAnsi" w:hAnsiTheme="minorHAnsi"/>
        </w:rPr>
        <w:t xml:space="preserve"> Recurring fixed costs include Fixed O&amp;M, Maintenance Capital, and Natural Gas Firm Transportation.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70B698B5" w14:paraId="465B4D3B" w14:textId="77777777" w:rsidTr="009D09C6">
      <w:trPr>
        <w:trHeight w:val="300"/>
      </w:trPr>
      <w:tc>
        <w:tcPr>
          <w:tcW w:w="3120" w:type="dxa"/>
        </w:tcPr>
        <w:p w14:paraId="0D654AE1" w14:textId="3F06C0E8" w:rsidR="70B698B5" w:rsidRDefault="70B698B5" w:rsidP="00E62540">
          <w:pPr>
            <w:pStyle w:val="Header"/>
            <w:ind w:left="-115"/>
            <w:jc w:val="left"/>
          </w:pPr>
        </w:p>
      </w:tc>
      <w:tc>
        <w:tcPr>
          <w:tcW w:w="3120" w:type="dxa"/>
        </w:tcPr>
        <w:p w14:paraId="2EDEF706" w14:textId="6B56D6AD" w:rsidR="70B698B5" w:rsidRDefault="70B698B5" w:rsidP="009D09C6">
          <w:pPr>
            <w:pStyle w:val="Header"/>
            <w:jc w:val="center"/>
          </w:pPr>
        </w:p>
      </w:tc>
      <w:tc>
        <w:tcPr>
          <w:tcW w:w="3120" w:type="dxa"/>
        </w:tcPr>
        <w:p w14:paraId="609B7004" w14:textId="62D98E17" w:rsidR="70B698B5" w:rsidRDefault="70B698B5" w:rsidP="009D09C6">
          <w:pPr>
            <w:pStyle w:val="Header"/>
            <w:ind w:right="-115"/>
            <w:jc w:val="right"/>
          </w:pPr>
        </w:p>
      </w:tc>
    </w:tr>
  </w:tbl>
  <w:p w14:paraId="581D9B6A" w14:textId="742BE747" w:rsidR="00082A88" w:rsidRDefault="00082A8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F65E34" w14:textId="600BF307" w:rsidR="00D3189F" w:rsidRPr="000827DC" w:rsidRDefault="006C2243" w:rsidP="003764A8">
    <w:pPr>
      <w:pStyle w:val="Header"/>
      <w:jc w:val="center"/>
      <w:rPr>
        <w:b/>
      </w:rPr>
    </w:pPr>
    <w:r w:rsidRPr="000827DC">
      <w:rPr>
        <w:b/>
      </w:rPr>
      <w:t>PUBLIC DISCLOSURE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70B698B5" w14:paraId="54A8938B" w14:textId="77777777" w:rsidTr="009D09C6">
      <w:trPr>
        <w:trHeight w:val="300"/>
      </w:trPr>
      <w:tc>
        <w:tcPr>
          <w:tcW w:w="3120" w:type="dxa"/>
        </w:tcPr>
        <w:p w14:paraId="1E41FD19" w14:textId="02106E92" w:rsidR="70B698B5" w:rsidRDefault="70B698B5" w:rsidP="009D09C6">
          <w:pPr>
            <w:pStyle w:val="Header"/>
            <w:ind w:left="-115"/>
            <w:jc w:val="left"/>
          </w:pPr>
        </w:p>
      </w:tc>
      <w:tc>
        <w:tcPr>
          <w:tcW w:w="3120" w:type="dxa"/>
        </w:tcPr>
        <w:p w14:paraId="2E8AD500" w14:textId="7D036A4D" w:rsidR="70B698B5" w:rsidRDefault="70B698B5" w:rsidP="009D09C6">
          <w:pPr>
            <w:pStyle w:val="Header"/>
            <w:jc w:val="center"/>
          </w:pPr>
        </w:p>
      </w:tc>
      <w:tc>
        <w:tcPr>
          <w:tcW w:w="3120" w:type="dxa"/>
        </w:tcPr>
        <w:p w14:paraId="4782729A" w14:textId="26623430" w:rsidR="70B698B5" w:rsidRDefault="70B698B5" w:rsidP="009D09C6">
          <w:pPr>
            <w:pStyle w:val="Header"/>
            <w:ind w:right="-115"/>
            <w:jc w:val="right"/>
          </w:pPr>
        </w:p>
      </w:tc>
    </w:tr>
  </w:tbl>
  <w:p w14:paraId="6CBC446A" w14:textId="78B5D0D7" w:rsidR="00082A88" w:rsidRDefault="00082A8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70B698B5" w14:paraId="1D2C7E1F" w14:textId="77777777" w:rsidTr="009D09C6">
      <w:trPr>
        <w:trHeight w:val="300"/>
      </w:trPr>
      <w:tc>
        <w:tcPr>
          <w:tcW w:w="3120" w:type="dxa"/>
        </w:tcPr>
        <w:p w14:paraId="41DBFC6C" w14:textId="0C54EBA2" w:rsidR="70B698B5" w:rsidRDefault="70B698B5" w:rsidP="009D09C6">
          <w:pPr>
            <w:pStyle w:val="Header"/>
            <w:ind w:left="-115"/>
            <w:jc w:val="left"/>
          </w:pPr>
        </w:p>
      </w:tc>
      <w:tc>
        <w:tcPr>
          <w:tcW w:w="3120" w:type="dxa"/>
        </w:tcPr>
        <w:p w14:paraId="2917EB03" w14:textId="0FD18822" w:rsidR="70B698B5" w:rsidRDefault="004A404D" w:rsidP="009D09C6">
          <w:pPr>
            <w:pStyle w:val="Header"/>
            <w:jc w:val="center"/>
          </w:pPr>
          <w:r w:rsidRPr="000827DC">
            <w:rPr>
              <w:b/>
            </w:rPr>
            <w:t>PUBLIC DISCLOSURE</w:t>
          </w:r>
        </w:p>
      </w:tc>
      <w:tc>
        <w:tcPr>
          <w:tcW w:w="3120" w:type="dxa"/>
        </w:tcPr>
        <w:p w14:paraId="0C529F9A" w14:textId="0A5CA4C9" w:rsidR="70B698B5" w:rsidRDefault="70B698B5" w:rsidP="009D09C6">
          <w:pPr>
            <w:pStyle w:val="Header"/>
            <w:ind w:right="-115"/>
            <w:jc w:val="right"/>
          </w:pPr>
        </w:p>
      </w:tc>
    </w:tr>
  </w:tbl>
  <w:p w14:paraId="60D6DDFC" w14:textId="6FFE6737" w:rsidR="00082A88" w:rsidRDefault="00082A88">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4320"/>
      <w:gridCol w:w="4320"/>
      <w:gridCol w:w="4320"/>
    </w:tblGrid>
    <w:tr w:rsidR="70B698B5" w14:paraId="142B20D6" w14:textId="77777777" w:rsidTr="009D09C6">
      <w:trPr>
        <w:trHeight w:val="300"/>
      </w:trPr>
      <w:tc>
        <w:tcPr>
          <w:tcW w:w="4320" w:type="dxa"/>
        </w:tcPr>
        <w:p w14:paraId="1B1B663D" w14:textId="42E10C9C" w:rsidR="70B698B5" w:rsidRDefault="70B698B5" w:rsidP="009D09C6">
          <w:pPr>
            <w:pStyle w:val="Header"/>
            <w:ind w:left="-115"/>
            <w:jc w:val="left"/>
          </w:pPr>
        </w:p>
      </w:tc>
      <w:tc>
        <w:tcPr>
          <w:tcW w:w="4320" w:type="dxa"/>
        </w:tcPr>
        <w:p w14:paraId="7C0D8B28" w14:textId="7460449C" w:rsidR="70B698B5" w:rsidRDefault="004A404D" w:rsidP="009D09C6">
          <w:pPr>
            <w:pStyle w:val="Header"/>
            <w:jc w:val="center"/>
          </w:pPr>
          <w:r w:rsidRPr="000827DC">
            <w:rPr>
              <w:b/>
            </w:rPr>
            <w:t>PUBLIC DISCLOSURE</w:t>
          </w:r>
        </w:p>
      </w:tc>
      <w:tc>
        <w:tcPr>
          <w:tcW w:w="4320" w:type="dxa"/>
        </w:tcPr>
        <w:p w14:paraId="42C8D59D" w14:textId="38101028" w:rsidR="70B698B5" w:rsidRDefault="70B698B5" w:rsidP="009D09C6">
          <w:pPr>
            <w:pStyle w:val="Header"/>
            <w:ind w:right="-115"/>
            <w:jc w:val="right"/>
          </w:pPr>
        </w:p>
      </w:tc>
    </w:tr>
  </w:tbl>
  <w:p w14:paraId="0056B1E2" w14:textId="5BA83B26" w:rsidR="00082A88" w:rsidRDefault="00082A8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70B698B5" w14:paraId="580C5679" w14:textId="77777777" w:rsidTr="009D09C6">
      <w:trPr>
        <w:trHeight w:val="300"/>
      </w:trPr>
      <w:tc>
        <w:tcPr>
          <w:tcW w:w="3120" w:type="dxa"/>
        </w:tcPr>
        <w:p w14:paraId="36FF5BA2" w14:textId="75875B36" w:rsidR="70B698B5" w:rsidRDefault="70B698B5" w:rsidP="009D09C6">
          <w:pPr>
            <w:pStyle w:val="Header"/>
            <w:ind w:left="-115"/>
            <w:jc w:val="left"/>
          </w:pPr>
        </w:p>
      </w:tc>
      <w:tc>
        <w:tcPr>
          <w:tcW w:w="3120" w:type="dxa"/>
        </w:tcPr>
        <w:p w14:paraId="0979B92A" w14:textId="2C3500B8" w:rsidR="70B698B5" w:rsidRDefault="004A404D" w:rsidP="009D09C6">
          <w:pPr>
            <w:pStyle w:val="Header"/>
            <w:jc w:val="center"/>
          </w:pPr>
          <w:r w:rsidRPr="000827DC">
            <w:rPr>
              <w:b/>
            </w:rPr>
            <w:t>PUBLIC DISCLOSURE</w:t>
          </w:r>
        </w:p>
      </w:tc>
      <w:tc>
        <w:tcPr>
          <w:tcW w:w="3120" w:type="dxa"/>
        </w:tcPr>
        <w:p w14:paraId="6388DC63" w14:textId="19D76369" w:rsidR="70B698B5" w:rsidRDefault="70B698B5" w:rsidP="009D09C6">
          <w:pPr>
            <w:pStyle w:val="Header"/>
            <w:ind w:right="-115"/>
            <w:jc w:val="right"/>
          </w:pPr>
        </w:p>
      </w:tc>
    </w:tr>
  </w:tbl>
  <w:p w14:paraId="25542F1A" w14:textId="113CC909" w:rsidR="00082A88" w:rsidRDefault="00082A8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4E13C5"/>
    <w:multiLevelType w:val="hybridMultilevel"/>
    <w:tmpl w:val="361ADF38"/>
    <w:lvl w:ilvl="0" w:tplc="FFFFFFF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8F531BE"/>
    <w:multiLevelType w:val="hybridMultilevel"/>
    <w:tmpl w:val="EFE2722A"/>
    <w:lvl w:ilvl="0" w:tplc="9CF4E6E0">
      <w:start w:val="1"/>
      <w:numFmt w:val="bullet"/>
      <w:lvlText w:val="•"/>
      <w:lvlJc w:val="left"/>
      <w:pPr>
        <w:ind w:left="990" w:hanging="360"/>
      </w:pPr>
      <w:rPr>
        <w:rFonts w:ascii="Arial" w:hAnsi="Aria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281FC675"/>
    <w:multiLevelType w:val="hybridMultilevel"/>
    <w:tmpl w:val="FFFFFFFF"/>
    <w:lvl w:ilvl="0" w:tplc="A98ABAB4">
      <w:start w:val="1"/>
      <w:numFmt w:val="bullet"/>
      <w:lvlText w:val=""/>
      <w:lvlJc w:val="left"/>
      <w:pPr>
        <w:ind w:left="720" w:hanging="360"/>
      </w:pPr>
      <w:rPr>
        <w:rFonts w:ascii="Symbol" w:hAnsi="Symbol" w:hint="default"/>
      </w:rPr>
    </w:lvl>
    <w:lvl w:ilvl="1" w:tplc="F9A6112A">
      <w:start w:val="1"/>
      <w:numFmt w:val="bullet"/>
      <w:lvlText w:val="o"/>
      <w:lvlJc w:val="left"/>
      <w:pPr>
        <w:ind w:left="1440" w:hanging="360"/>
      </w:pPr>
      <w:rPr>
        <w:rFonts w:ascii="Courier New" w:hAnsi="Courier New" w:hint="default"/>
      </w:rPr>
    </w:lvl>
    <w:lvl w:ilvl="2" w:tplc="D69829F6">
      <w:start w:val="1"/>
      <w:numFmt w:val="bullet"/>
      <w:lvlText w:val=""/>
      <w:lvlJc w:val="left"/>
      <w:pPr>
        <w:ind w:left="2160" w:hanging="360"/>
      </w:pPr>
      <w:rPr>
        <w:rFonts w:ascii="Wingdings" w:hAnsi="Wingdings" w:hint="default"/>
      </w:rPr>
    </w:lvl>
    <w:lvl w:ilvl="3" w:tplc="0B8077E6">
      <w:start w:val="1"/>
      <w:numFmt w:val="bullet"/>
      <w:lvlText w:val=""/>
      <w:lvlJc w:val="left"/>
      <w:pPr>
        <w:ind w:left="2880" w:hanging="360"/>
      </w:pPr>
      <w:rPr>
        <w:rFonts w:ascii="Symbol" w:hAnsi="Symbol" w:hint="default"/>
      </w:rPr>
    </w:lvl>
    <w:lvl w:ilvl="4" w:tplc="3F78467E">
      <w:start w:val="1"/>
      <w:numFmt w:val="bullet"/>
      <w:lvlText w:val="o"/>
      <w:lvlJc w:val="left"/>
      <w:pPr>
        <w:ind w:left="3600" w:hanging="360"/>
      </w:pPr>
      <w:rPr>
        <w:rFonts w:ascii="Courier New" w:hAnsi="Courier New" w:hint="default"/>
      </w:rPr>
    </w:lvl>
    <w:lvl w:ilvl="5" w:tplc="AAE6C8B4">
      <w:start w:val="1"/>
      <w:numFmt w:val="bullet"/>
      <w:lvlText w:val=""/>
      <w:lvlJc w:val="left"/>
      <w:pPr>
        <w:ind w:left="4320" w:hanging="360"/>
      </w:pPr>
      <w:rPr>
        <w:rFonts w:ascii="Wingdings" w:hAnsi="Wingdings" w:hint="default"/>
      </w:rPr>
    </w:lvl>
    <w:lvl w:ilvl="6" w:tplc="2D40461E">
      <w:start w:val="1"/>
      <w:numFmt w:val="bullet"/>
      <w:lvlText w:val=""/>
      <w:lvlJc w:val="left"/>
      <w:pPr>
        <w:ind w:left="5040" w:hanging="360"/>
      </w:pPr>
      <w:rPr>
        <w:rFonts w:ascii="Symbol" w:hAnsi="Symbol" w:hint="default"/>
      </w:rPr>
    </w:lvl>
    <w:lvl w:ilvl="7" w:tplc="41826D5C">
      <w:start w:val="1"/>
      <w:numFmt w:val="bullet"/>
      <w:lvlText w:val="o"/>
      <w:lvlJc w:val="left"/>
      <w:pPr>
        <w:ind w:left="5760" w:hanging="360"/>
      </w:pPr>
      <w:rPr>
        <w:rFonts w:ascii="Courier New" w:hAnsi="Courier New" w:hint="default"/>
      </w:rPr>
    </w:lvl>
    <w:lvl w:ilvl="8" w:tplc="0428DB80">
      <w:start w:val="1"/>
      <w:numFmt w:val="bullet"/>
      <w:lvlText w:val=""/>
      <w:lvlJc w:val="left"/>
      <w:pPr>
        <w:ind w:left="6480" w:hanging="360"/>
      </w:pPr>
      <w:rPr>
        <w:rFonts w:ascii="Wingdings" w:hAnsi="Wingdings" w:hint="default"/>
      </w:rPr>
    </w:lvl>
  </w:abstractNum>
  <w:abstractNum w:abstractNumId="3" w15:restartNumberingAfterBreak="0">
    <w:nsid w:val="31FF41EC"/>
    <w:multiLevelType w:val="hybridMultilevel"/>
    <w:tmpl w:val="D8886860"/>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4" w15:restartNumberingAfterBreak="0">
    <w:nsid w:val="4A27710D"/>
    <w:multiLevelType w:val="hybridMultilevel"/>
    <w:tmpl w:val="68B08A16"/>
    <w:lvl w:ilvl="0" w:tplc="E3B8B68A">
      <w:numFmt w:val="bullet"/>
      <w:lvlText w:val="-"/>
      <w:lvlJc w:val="left"/>
      <w:pPr>
        <w:ind w:left="720" w:hanging="360"/>
      </w:pPr>
      <w:rPr>
        <w:rFonts w:ascii="Aptos" w:eastAsiaTheme="minorHAnsi" w:hAnsi="Aptos"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C411666"/>
    <w:multiLevelType w:val="hybridMultilevel"/>
    <w:tmpl w:val="B2C4C05A"/>
    <w:lvl w:ilvl="0" w:tplc="9CF4E6E0">
      <w:start w:val="1"/>
      <w:numFmt w:val="bullet"/>
      <w:lvlText w:val="•"/>
      <w:lvlJc w:val="left"/>
      <w:pPr>
        <w:ind w:left="360" w:hanging="360"/>
      </w:pPr>
      <w:rPr>
        <w:rFonts w:ascii="Arial" w:hAnsi="Aria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5A011ECB"/>
    <w:multiLevelType w:val="hybridMultilevel"/>
    <w:tmpl w:val="1D2ED6C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66255D31"/>
    <w:multiLevelType w:val="hybridMultilevel"/>
    <w:tmpl w:val="B002CE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67465740">
    <w:abstractNumId w:val="4"/>
  </w:num>
  <w:num w:numId="2" w16cid:durableId="1782919001">
    <w:abstractNumId w:val="3"/>
  </w:num>
  <w:num w:numId="3" w16cid:durableId="432895570">
    <w:abstractNumId w:val="0"/>
  </w:num>
  <w:num w:numId="4" w16cid:durableId="1427381248">
    <w:abstractNumId w:val="7"/>
  </w:num>
  <w:num w:numId="5" w16cid:durableId="825366191">
    <w:abstractNumId w:val="6"/>
  </w:num>
  <w:num w:numId="6" w16cid:durableId="247078998">
    <w:abstractNumId w:val="5"/>
  </w:num>
  <w:num w:numId="7" w16cid:durableId="1025180311">
    <w:abstractNumId w:val="1"/>
  </w:num>
  <w:num w:numId="8" w16cid:durableId="163945450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76C85"/>
    <w:rsid w:val="00000005"/>
    <w:rsid w:val="00001469"/>
    <w:rsid w:val="00001D7A"/>
    <w:rsid w:val="000022A3"/>
    <w:rsid w:val="00002342"/>
    <w:rsid w:val="000024A2"/>
    <w:rsid w:val="000034B0"/>
    <w:rsid w:val="00003884"/>
    <w:rsid w:val="000040AB"/>
    <w:rsid w:val="000047DA"/>
    <w:rsid w:val="000053FB"/>
    <w:rsid w:val="00005F28"/>
    <w:rsid w:val="0000793E"/>
    <w:rsid w:val="000101C6"/>
    <w:rsid w:val="00010646"/>
    <w:rsid w:val="0001188A"/>
    <w:rsid w:val="000135F0"/>
    <w:rsid w:val="00013C06"/>
    <w:rsid w:val="000145C7"/>
    <w:rsid w:val="0001674A"/>
    <w:rsid w:val="00016FF4"/>
    <w:rsid w:val="000171FA"/>
    <w:rsid w:val="00017532"/>
    <w:rsid w:val="00017A30"/>
    <w:rsid w:val="00020D00"/>
    <w:rsid w:val="000213F5"/>
    <w:rsid w:val="000217AA"/>
    <w:rsid w:val="000250E3"/>
    <w:rsid w:val="000276FB"/>
    <w:rsid w:val="00027743"/>
    <w:rsid w:val="00027D56"/>
    <w:rsid w:val="000302CE"/>
    <w:rsid w:val="000305DD"/>
    <w:rsid w:val="00030841"/>
    <w:rsid w:val="00030F84"/>
    <w:rsid w:val="00031D01"/>
    <w:rsid w:val="0003292D"/>
    <w:rsid w:val="00034273"/>
    <w:rsid w:val="00034560"/>
    <w:rsid w:val="00034DE6"/>
    <w:rsid w:val="000351AD"/>
    <w:rsid w:val="000361E5"/>
    <w:rsid w:val="00036248"/>
    <w:rsid w:val="000373C0"/>
    <w:rsid w:val="000375BD"/>
    <w:rsid w:val="00037D4D"/>
    <w:rsid w:val="000400D0"/>
    <w:rsid w:val="00040420"/>
    <w:rsid w:val="00040C23"/>
    <w:rsid w:val="00041528"/>
    <w:rsid w:val="00041A43"/>
    <w:rsid w:val="00041DD3"/>
    <w:rsid w:val="00041E29"/>
    <w:rsid w:val="000420AF"/>
    <w:rsid w:val="00042AE6"/>
    <w:rsid w:val="0004456C"/>
    <w:rsid w:val="00045FA3"/>
    <w:rsid w:val="000463B9"/>
    <w:rsid w:val="000474AE"/>
    <w:rsid w:val="0004788C"/>
    <w:rsid w:val="0005069B"/>
    <w:rsid w:val="0005262A"/>
    <w:rsid w:val="00052A67"/>
    <w:rsid w:val="00055EBA"/>
    <w:rsid w:val="000561C3"/>
    <w:rsid w:val="00056B83"/>
    <w:rsid w:val="00057906"/>
    <w:rsid w:val="000619D7"/>
    <w:rsid w:val="00062356"/>
    <w:rsid w:val="0006418E"/>
    <w:rsid w:val="00064D35"/>
    <w:rsid w:val="0006730B"/>
    <w:rsid w:val="00070110"/>
    <w:rsid w:val="00071110"/>
    <w:rsid w:val="00071438"/>
    <w:rsid w:val="00071BAA"/>
    <w:rsid w:val="000731F0"/>
    <w:rsid w:val="00073357"/>
    <w:rsid w:val="000742C0"/>
    <w:rsid w:val="000752D6"/>
    <w:rsid w:val="00075558"/>
    <w:rsid w:val="0007661A"/>
    <w:rsid w:val="00077865"/>
    <w:rsid w:val="00080FA0"/>
    <w:rsid w:val="000814F0"/>
    <w:rsid w:val="00081B21"/>
    <w:rsid w:val="00081DDD"/>
    <w:rsid w:val="000827DC"/>
    <w:rsid w:val="00082A88"/>
    <w:rsid w:val="0008307F"/>
    <w:rsid w:val="00084DF9"/>
    <w:rsid w:val="000857C6"/>
    <w:rsid w:val="00086547"/>
    <w:rsid w:val="000869C5"/>
    <w:rsid w:val="00086AC9"/>
    <w:rsid w:val="00086EC7"/>
    <w:rsid w:val="00087464"/>
    <w:rsid w:val="00090618"/>
    <w:rsid w:val="00090D3A"/>
    <w:rsid w:val="00091665"/>
    <w:rsid w:val="00092C6D"/>
    <w:rsid w:val="000933D6"/>
    <w:rsid w:val="00094336"/>
    <w:rsid w:val="000945AA"/>
    <w:rsid w:val="00094B44"/>
    <w:rsid w:val="00094DE4"/>
    <w:rsid w:val="00095530"/>
    <w:rsid w:val="00095EAC"/>
    <w:rsid w:val="0009661B"/>
    <w:rsid w:val="000A02C4"/>
    <w:rsid w:val="000A0992"/>
    <w:rsid w:val="000A0FC1"/>
    <w:rsid w:val="000A1193"/>
    <w:rsid w:val="000A1E26"/>
    <w:rsid w:val="000A214B"/>
    <w:rsid w:val="000A2A1B"/>
    <w:rsid w:val="000A406F"/>
    <w:rsid w:val="000A4D6F"/>
    <w:rsid w:val="000A4E17"/>
    <w:rsid w:val="000A507C"/>
    <w:rsid w:val="000A52B1"/>
    <w:rsid w:val="000A576D"/>
    <w:rsid w:val="000A5975"/>
    <w:rsid w:val="000A5B86"/>
    <w:rsid w:val="000A5D6D"/>
    <w:rsid w:val="000A5F99"/>
    <w:rsid w:val="000A6B91"/>
    <w:rsid w:val="000A7DE1"/>
    <w:rsid w:val="000B1F83"/>
    <w:rsid w:val="000B4A0E"/>
    <w:rsid w:val="000B5D8E"/>
    <w:rsid w:val="000B72C9"/>
    <w:rsid w:val="000B7D8D"/>
    <w:rsid w:val="000B7EDB"/>
    <w:rsid w:val="000C0A19"/>
    <w:rsid w:val="000C2838"/>
    <w:rsid w:val="000C2C7E"/>
    <w:rsid w:val="000C58A8"/>
    <w:rsid w:val="000C60B7"/>
    <w:rsid w:val="000C61BF"/>
    <w:rsid w:val="000C6B45"/>
    <w:rsid w:val="000C6BC7"/>
    <w:rsid w:val="000C77DE"/>
    <w:rsid w:val="000C7B8D"/>
    <w:rsid w:val="000D3C43"/>
    <w:rsid w:val="000D3D21"/>
    <w:rsid w:val="000D4E91"/>
    <w:rsid w:val="000D56E9"/>
    <w:rsid w:val="000D5D76"/>
    <w:rsid w:val="000E07B8"/>
    <w:rsid w:val="000E095E"/>
    <w:rsid w:val="000E10A8"/>
    <w:rsid w:val="000E1137"/>
    <w:rsid w:val="000E1215"/>
    <w:rsid w:val="000E356A"/>
    <w:rsid w:val="000E3731"/>
    <w:rsid w:val="000E4D40"/>
    <w:rsid w:val="000E56C8"/>
    <w:rsid w:val="000E59E6"/>
    <w:rsid w:val="000E5E76"/>
    <w:rsid w:val="000E5F7D"/>
    <w:rsid w:val="000E67DA"/>
    <w:rsid w:val="000F0EC4"/>
    <w:rsid w:val="000F18B4"/>
    <w:rsid w:val="000F192A"/>
    <w:rsid w:val="000F1AE7"/>
    <w:rsid w:val="000F1C42"/>
    <w:rsid w:val="000F26A2"/>
    <w:rsid w:val="000F3473"/>
    <w:rsid w:val="000F4B85"/>
    <w:rsid w:val="000F5886"/>
    <w:rsid w:val="000F685F"/>
    <w:rsid w:val="000F6B7C"/>
    <w:rsid w:val="000F711C"/>
    <w:rsid w:val="0010104E"/>
    <w:rsid w:val="001012E3"/>
    <w:rsid w:val="001014C1"/>
    <w:rsid w:val="0010209B"/>
    <w:rsid w:val="001023FD"/>
    <w:rsid w:val="00102561"/>
    <w:rsid w:val="001026AC"/>
    <w:rsid w:val="0010302B"/>
    <w:rsid w:val="001032D6"/>
    <w:rsid w:val="00103C5C"/>
    <w:rsid w:val="00103CED"/>
    <w:rsid w:val="00103E13"/>
    <w:rsid w:val="0010473D"/>
    <w:rsid w:val="00107C56"/>
    <w:rsid w:val="00107F27"/>
    <w:rsid w:val="0011253D"/>
    <w:rsid w:val="00112D5F"/>
    <w:rsid w:val="00112ECF"/>
    <w:rsid w:val="00112FF3"/>
    <w:rsid w:val="00113C20"/>
    <w:rsid w:val="00116497"/>
    <w:rsid w:val="00116611"/>
    <w:rsid w:val="00116A6C"/>
    <w:rsid w:val="001201F1"/>
    <w:rsid w:val="0012054F"/>
    <w:rsid w:val="00121221"/>
    <w:rsid w:val="00121364"/>
    <w:rsid w:val="00121465"/>
    <w:rsid w:val="00121682"/>
    <w:rsid w:val="00121939"/>
    <w:rsid w:val="001228E7"/>
    <w:rsid w:val="00122A73"/>
    <w:rsid w:val="00122FD6"/>
    <w:rsid w:val="00123848"/>
    <w:rsid w:val="00126120"/>
    <w:rsid w:val="001261E1"/>
    <w:rsid w:val="0012788A"/>
    <w:rsid w:val="00127F71"/>
    <w:rsid w:val="00130F0B"/>
    <w:rsid w:val="00131380"/>
    <w:rsid w:val="00132251"/>
    <w:rsid w:val="00132966"/>
    <w:rsid w:val="00132B17"/>
    <w:rsid w:val="00134ECA"/>
    <w:rsid w:val="00134F12"/>
    <w:rsid w:val="001350DA"/>
    <w:rsid w:val="001359A5"/>
    <w:rsid w:val="00136AF9"/>
    <w:rsid w:val="00140553"/>
    <w:rsid w:val="0014171B"/>
    <w:rsid w:val="001418DA"/>
    <w:rsid w:val="0014467B"/>
    <w:rsid w:val="001462F8"/>
    <w:rsid w:val="0014636D"/>
    <w:rsid w:val="001465C1"/>
    <w:rsid w:val="0014683C"/>
    <w:rsid w:val="00147203"/>
    <w:rsid w:val="00150906"/>
    <w:rsid w:val="00150F71"/>
    <w:rsid w:val="00151280"/>
    <w:rsid w:val="0015139E"/>
    <w:rsid w:val="001519A7"/>
    <w:rsid w:val="001522DD"/>
    <w:rsid w:val="0015370A"/>
    <w:rsid w:val="00153E39"/>
    <w:rsid w:val="0015445F"/>
    <w:rsid w:val="001546BA"/>
    <w:rsid w:val="00154986"/>
    <w:rsid w:val="00156E5A"/>
    <w:rsid w:val="0015733E"/>
    <w:rsid w:val="00160BA8"/>
    <w:rsid w:val="0016115C"/>
    <w:rsid w:val="001617F3"/>
    <w:rsid w:val="00162ADF"/>
    <w:rsid w:val="001634F9"/>
    <w:rsid w:val="00163DF6"/>
    <w:rsid w:val="00166292"/>
    <w:rsid w:val="00170A5C"/>
    <w:rsid w:val="00171AA8"/>
    <w:rsid w:val="00171E4D"/>
    <w:rsid w:val="0017370B"/>
    <w:rsid w:val="00174058"/>
    <w:rsid w:val="00174ADA"/>
    <w:rsid w:val="00175412"/>
    <w:rsid w:val="00175648"/>
    <w:rsid w:val="00176195"/>
    <w:rsid w:val="00177667"/>
    <w:rsid w:val="0018035F"/>
    <w:rsid w:val="001816B5"/>
    <w:rsid w:val="00182D56"/>
    <w:rsid w:val="00183034"/>
    <w:rsid w:val="00184405"/>
    <w:rsid w:val="00184BF4"/>
    <w:rsid w:val="00186293"/>
    <w:rsid w:val="001872B0"/>
    <w:rsid w:val="001903A6"/>
    <w:rsid w:val="001909FE"/>
    <w:rsid w:val="00190B9C"/>
    <w:rsid w:val="00191358"/>
    <w:rsid w:val="00192DCA"/>
    <w:rsid w:val="00193158"/>
    <w:rsid w:val="00193369"/>
    <w:rsid w:val="0019499D"/>
    <w:rsid w:val="00195264"/>
    <w:rsid w:val="001952CF"/>
    <w:rsid w:val="00197CF6"/>
    <w:rsid w:val="00197FC4"/>
    <w:rsid w:val="001A1955"/>
    <w:rsid w:val="001A1AB2"/>
    <w:rsid w:val="001A2F1D"/>
    <w:rsid w:val="001A4285"/>
    <w:rsid w:val="001A4875"/>
    <w:rsid w:val="001A5F97"/>
    <w:rsid w:val="001A7BA0"/>
    <w:rsid w:val="001B031A"/>
    <w:rsid w:val="001B07F6"/>
    <w:rsid w:val="001B0AC3"/>
    <w:rsid w:val="001B0E4E"/>
    <w:rsid w:val="001B2370"/>
    <w:rsid w:val="001B259F"/>
    <w:rsid w:val="001B2F5D"/>
    <w:rsid w:val="001B3123"/>
    <w:rsid w:val="001B3CCE"/>
    <w:rsid w:val="001B4A0A"/>
    <w:rsid w:val="001B4B28"/>
    <w:rsid w:val="001B4D64"/>
    <w:rsid w:val="001B5198"/>
    <w:rsid w:val="001B5BE5"/>
    <w:rsid w:val="001B7262"/>
    <w:rsid w:val="001B7C68"/>
    <w:rsid w:val="001C0BA7"/>
    <w:rsid w:val="001C22C8"/>
    <w:rsid w:val="001C34E7"/>
    <w:rsid w:val="001C44B1"/>
    <w:rsid w:val="001C46D5"/>
    <w:rsid w:val="001C47D3"/>
    <w:rsid w:val="001C4AF7"/>
    <w:rsid w:val="001C4E87"/>
    <w:rsid w:val="001C5B3D"/>
    <w:rsid w:val="001C621B"/>
    <w:rsid w:val="001D03A5"/>
    <w:rsid w:val="001D28E8"/>
    <w:rsid w:val="001D299D"/>
    <w:rsid w:val="001D6612"/>
    <w:rsid w:val="001E0CE1"/>
    <w:rsid w:val="001E1264"/>
    <w:rsid w:val="001E12F9"/>
    <w:rsid w:val="001E1F8F"/>
    <w:rsid w:val="001E327C"/>
    <w:rsid w:val="001E5136"/>
    <w:rsid w:val="001E5589"/>
    <w:rsid w:val="001E5D8F"/>
    <w:rsid w:val="001E5E3B"/>
    <w:rsid w:val="001E6455"/>
    <w:rsid w:val="001E7323"/>
    <w:rsid w:val="001F315F"/>
    <w:rsid w:val="001F33AD"/>
    <w:rsid w:val="001F5663"/>
    <w:rsid w:val="001F678E"/>
    <w:rsid w:val="00200090"/>
    <w:rsid w:val="0020035A"/>
    <w:rsid w:val="00201A8E"/>
    <w:rsid w:val="002024E8"/>
    <w:rsid w:val="00203FB2"/>
    <w:rsid w:val="00204083"/>
    <w:rsid w:val="00204933"/>
    <w:rsid w:val="00205231"/>
    <w:rsid w:val="0020680E"/>
    <w:rsid w:val="00206FF9"/>
    <w:rsid w:val="00207221"/>
    <w:rsid w:val="00207261"/>
    <w:rsid w:val="0020798C"/>
    <w:rsid w:val="00207B51"/>
    <w:rsid w:val="00210098"/>
    <w:rsid w:val="00210571"/>
    <w:rsid w:val="00210FB3"/>
    <w:rsid w:val="002111B1"/>
    <w:rsid w:val="0021121D"/>
    <w:rsid w:val="00211B1D"/>
    <w:rsid w:val="00211FE4"/>
    <w:rsid w:val="00212196"/>
    <w:rsid w:val="0021265E"/>
    <w:rsid w:val="002127A7"/>
    <w:rsid w:val="0021295A"/>
    <w:rsid w:val="00214583"/>
    <w:rsid w:val="00214690"/>
    <w:rsid w:val="00214804"/>
    <w:rsid w:val="00216505"/>
    <w:rsid w:val="002171F1"/>
    <w:rsid w:val="00217849"/>
    <w:rsid w:val="00217FC3"/>
    <w:rsid w:val="002203C6"/>
    <w:rsid w:val="00220FEB"/>
    <w:rsid w:val="0022215E"/>
    <w:rsid w:val="00223EEA"/>
    <w:rsid w:val="00223F88"/>
    <w:rsid w:val="00224284"/>
    <w:rsid w:val="00225088"/>
    <w:rsid w:val="00226232"/>
    <w:rsid w:val="002264A8"/>
    <w:rsid w:val="002305CE"/>
    <w:rsid w:val="00231215"/>
    <w:rsid w:val="00231426"/>
    <w:rsid w:val="00231D27"/>
    <w:rsid w:val="00232378"/>
    <w:rsid w:val="00232993"/>
    <w:rsid w:val="00232DE2"/>
    <w:rsid w:val="0023324D"/>
    <w:rsid w:val="00233689"/>
    <w:rsid w:val="00234903"/>
    <w:rsid w:val="00234D7D"/>
    <w:rsid w:val="00234FD5"/>
    <w:rsid w:val="002357BC"/>
    <w:rsid w:val="00235DC2"/>
    <w:rsid w:val="00236CAB"/>
    <w:rsid w:val="00237B8A"/>
    <w:rsid w:val="002426BF"/>
    <w:rsid w:val="002431DA"/>
    <w:rsid w:val="0024397B"/>
    <w:rsid w:val="00244D8E"/>
    <w:rsid w:val="00247060"/>
    <w:rsid w:val="0025076A"/>
    <w:rsid w:val="00250FAD"/>
    <w:rsid w:val="00251B2E"/>
    <w:rsid w:val="00251EA7"/>
    <w:rsid w:val="00252050"/>
    <w:rsid w:val="00252E8C"/>
    <w:rsid w:val="00253A29"/>
    <w:rsid w:val="00254259"/>
    <w:rsid w:val="00254527"/>
    <w:rsid w:val="002560D1"/>
    <w:rsid w:val="00256E53"/>
    <w:rsid w:val="002572B8"/>
    <w:rsid w:val="0026028B"/>
    <w:rsid w:val="00260AB8"/>
    <w:rsid w:val="00261ACC"/>
    <w:rsid w:val="00261D1B"/>
    <w:rsid w:val="00261EBA"/>
    <w:rsid w:val="00263963"/>
    <w:rsid w:val="002639B6"/>
    <w:rsid w:val="00267A27"/>
    <w:rsid w:val="002705B8"/>
    <w:rsid w:val="002708F8"/>
    <w:rsid w:val="0027240A"/>
    <w:rsid w:val="00272A84"/>
    <w:rsid w:val="00272B68"/>
    <w:rsid w:val="00273D66"/>
    <w:rsid w:val="00274134"/>
    <w:rsid w:val="00274273"/>
    <w:rsid w:val="00275780"/>
    <w:rsid w:val="00275EEC"/>
    <w:rsid w:val="002765EE"/>
    <w:rsid w:val="00277438"/>
    <w:rsid w:val="00281B64"/>
    <w:rsid w:val="00283734"/>
    <w:rsid w:val="00283A95"/>
    <w:rsid w:val="00283CAE"/>
    <w:rsid w:val="00284EFD"/>
    <w:rsid w:val="0028571E"/>
    <w:rsid w:val="0029020B"/>
    <w:rsid w:val="002903CF"/>
    <w:rsid w:val="0029073B"/>
    <w:rsid w:val="0029136C"/>
    <w:rsid w:val="0029221F"/>
    <w:rsid w:val="00292EC0"/>
    <w:rsid w:val="00292F1D"/>
    <w:rsid w:val="00293E69"/>
    <w:rsid w:val="002946D9"/>
    <w:rsid w:val="00294A8C"/>
    <w:rsid w:val="00294C65"/>
    <w:rsid w:val="0029530F"/>
    <w:rsid w:val="00295492"/>
    <w:rsid w:val="00297EDC"/>
    <w:rsid w:val="002A0B55"/>
    <w:rsid w:val="002A1111"/>
    <w:rsid w:val="002A1D55"/>
    <w:rsid w:val="002A33EC"/>
    <w:rsid w:val="002A3DA3"/>
    <w:rsid w:val="002A4A39"/>
    <w:rsid w:val="002A5E42"/>
    <w:rsid w:val="002B029A"/>
    <w:rsid w:val="002B1385"/>
    <w:rsid w:val="002B2A41"/>
    <w:rsid w:val="002B3AC5"/>
    <w:rsid w:val="002B415A"/>
    <w:rsid w:val="002B4452"/>
    <w:rsid w:val="002B489D"/>
    <w:rsid w:val="002B4C41"/>
    <w:rsid w:val="002B5248"/>
    <w:rsid w:val="002B65C3"/>
    <w:rsid w:val="002B6692"/>
    <w:rsid w:val="002B68AF"/>
    <w:rsid w:val="002B6BF9"/>
    <w:rsid w:val="002B7111"/>
    <w:rsid w:val="002B717D"/>
    <w:rsid w:val="002B7239"/>
    <w:rsid w:val="002B758E"/>
    <w:rsid w:val="002C07A6"/>
    <w:rsid w:val="002C12C2"/>
    <w:rsid w:val="002C20EA"/>
    <w:rsid w:val="002C291C"/>
    <w:rsid w:val="002C3B44"/>
    <w:rsid w:val="002C5B38"/>
    <w:rsid w:val="002C69F9"/>
    <w:rsid w:val="002C7662"/>
    <w:rsid w:val="002D0815"/>
    <w:rsid w:val="002D1E4B"/>
    <w:rsid w:val="002D21C3"/>
    <w:rsid w:val="002D3312"/>
    <w:rsid w:val="002D4437"/>
    <w:rsid w:val="002D4B36"/>
    <w:rsid w:val="002D4C9C"/>
    <w:rsid w:val="002D5B69"/>
    <w:rsid w:val="002D72E5"/>
    <w:rsid w:val="002D73E0"/>
    <w:rsid w:val="002D7FBF"/>
    <w:rsid w:val="002E0B4F"/>
    <w:rsid w:val="002E5557"/>
    <w:rsid w:val="002E55D9"/>
    <w:rsid w:val="002E6C33"/>
    <w:rsid w:val="002E6FC6"/>
    <w:rsid w:val="002F0000"/>
    <w:rsid w:val="002F00E8"/>
    <w:rsid w:val="002F02A7"/>
    <w:rsid w:val="002F0966"/>
    <w:rsid w:val="002F0C97"/>
    <w:rsid w:val="002F144C"/>
    <w:rsid w:val="002F1BE7"/>
    <w:rsid w:val="002F2152"/>
    <w:rsid w:val="002F275B"/>
    <w:rsid w:val="002F2E07"/>
    <w:rsid w:val="002F34F8"/>
    <w:rsid w:val="002F3FA4"/>
    <w:rsid w:val="002F44E0"/>
    <w:rsid w:val="002F4A60"/>
    <w:rsid w:val="002F4D69"/>
    <w:rsid w:val="002F59C5"/>
    <w:rsid w:val="002F6EDC"/>
    <w:rsid w:val="003004F8"/>
    <w:rsid w:val="003007D8"/>
    <w:rsid w:val="003012E3"/>
    <w:rsid w:val="003027DA"/>
    <w:rsid w:val="00302860"/>
    <w:rsid w:val="003067A7"/>
    <w:rsid w:val="003069C9"/>
    <w:rsid w:val="00306EC7"/>
    <w:rsid w:val="00307336"/>
    <w:rsid w:val="00307373"/>
    <w:rsid w:val="00307EBD"/>
    <w:rsid w:val="003101FB"/>
    <w:rsid w:val="00310A25"/>
    <w:rsid w:val="00310EC0"/>
    <w:rsid w:val="00312422"/>
    <w:rsid w:val="0031307E"/>
    <w:rsid w:val="003133B1"/>
    <w:rsid w:val="00313AAA"/>
    <w:rsid w:val="0031464C"/>
    <w:rsid w:val="00314C21"/>
    <w:rsid w:val="00314DA2"/>
    <w:rsid w:val="00315058"/>
    <w:rsid w:val="003206C8"/>
    <w:rsid w:val="00321DE9"/>
    <w:rsid w:val="00322A59"/>
    <w:rsid w:val="00323501"/>
    <w:rsid w:val="003237A5"/>
    <w:rsid w:val="00324E0C"/>
    <w:rsid w:val="00325988"/>
    <w:rsid w:val="00325AF0"/>
    <w:rsid w:val="0032671E"/>
    <w:rsid w:val="00327248"/>
    <w:rsid w:val="0032770A"/>
    <w:rsid w:val="00327CD6"/>
    <w:rsid w:val="0033020D"/>
    <w:rsid w:val="003302AA"/>
    <w:rsid w:val="00330464"/>
    <w:rsid w:val="00331941"/>
    <w:rsid w:val="00331EEA"/>
    <w:rsid w:val="00332A23"/>
    <w:rsid w:val="003337CD"/>
    <w:rsid w:val="0033408E"/>
    <w:rsid w:val="003345F9"/>
    <w:rsid w:val="003350CC"/>
    <w:rsid w:val="0033663A"/>
    <w:rsid w:val="003370D4"/>
    <w:rsid w:val="00337F6D"/>
    <w:rsid w:val="00340F92"/>
    <w:rsid w:val="003413BC"/>
    <w:rsid w:val="00342E7A"/>
    <w:rsid w:val="00343E4A"/>
    <w:rsid w:val="00344DD4"/>
    <w:rsid w:val="00346AC4"/>
    <w:rsid w:val="0035074E"/>
    <w:rsid w:val="00350A8D"/>
    <w:rsid w:val="00350D6E"/>
    <w:rsid w:val="00351191"/>
    <w:rsid w:val="00351CDB"/>
    <w:rsid w:val="003553FF"/>
    <w:rsid w:val="0035578A"/>
    <w:rsid w:val="003559D0"/>
    <w:rsid w:val="003571F7"/>
    <w:rsid w:val="0035776C"/>
    <w:rsid w:val="0035799C"/>
    <w:rsid w:val="003606D5"/>
    <w:rsid w:val="0036091B"/>
    <w:rsid w:val="003617D4"/>
    <w:rsid w:val="00362817"/>
    <w:rsid w:val="0036405F"/>
    <w:rsid w:val="00364B06"/>
    <w:rsid w:val="00364B6A"/>
    <w:rsid w:val="00366B05"/>
    <w:rsid w:val="003678F9"/>
    <w:rsid w:val="0037000D"/>
    <w:rsid w:val="00371A89"/>
    <w:rsid w:val="00371DBC"/>
    <w:rsid w:val="00372CE8"/>
    <w:rsid w:val="00373B4D"/>
    <w:rsid w:val="003746F7"/>
    <w:rsid w:val="00375D18"/>
    <w:rsid w:val="003764A8"/>
    <w:rsid w:val="0037696F"/>
    <w:rsid w:val="003771E6"/>
    <w:rsid w:val="00377CC6"/>
    <w:rsid w:val="003800C6"/>
    <w:rsid w:val="00380813"/>
    <w:rsid w:val="0038099D"/>
    <w:rsid w:val="00381F70"/>
    <w:rsid w:val="0038335D"/>
    <w:rsid w:val="003833F5"/>
    <w:rsid w:val="00383925"/>
    <w:rsid w:val="00383C19"/>
    <w:rsid w:val="0038440D"/>
    <w:rsid w:val="00384FF5"/>
    <w:rsid w:val="00386503"/>
    <w:rsid w:val="00390313"/>
    <w:rsid w:val="00392081"/>
    <w:rsid w:val="003931EC"/>
    <w:rsid w:val="00393875"/>
    <w:rsid w:val="003949AD"/>
    <w:rsid w:val="00394CC1"/>
    <w:rsid w:val="0039540C"/>
    <w:rsid w:val="003954F4"/>
    <w:rsid w:val="0039599B"/>
    <w:rsid w:val="00395A3C"/>
    <w:rsid w:val="00397A50"/>
    <w:rsid w:val="003A09B4"/>
    <w:rsid w:val="003A25AC"/>
    <w:rsid w:val="003A49DC"/>
    <w:rsid w:val="003A57C8"/>
    <w:rsid w:val="003A5B56"/>
    <w:rsid w:val="003A5EB6"/>
    <w:rsid w:val="003A5FCD"/>
    <w:rsid w:val="003A60E6"/>
    <w:rsid w:val="003A66E5"/>
    <w:rsid w:val="003A7C36"/>
    <w:rsid w:val="003B059E"/>
    <w:rsid w:val="003B1341"/>
    <w:rsid w:val="003B4404"/>
    <w:rsid w:val="003C1A29"/>
    <w:rsid w:val="003C20AF"/>
    <w:rsid w:val="003C2211"/>
    <w:rsid w:val="003C24F1"/>
    <w:rsid w:val="003C312E"/>
    <w:rsid w:val="003C3232"/>
    <w:rsid w:val="003C3907"/>
    <w:rsid w:val="003C5431"/>
    <w:rsid w:val="003C69C3"/>
    <w:rsid w:val="003C6B24"/>
    <w:rsid w:val="003C6B30"/>
    <w:rsid w:val="003D115F"/>
    <w:rsid w:val="003D1A9B"/>
    <w:rsid w:val="003D1BF0"/>
    <w:rsid w:val="003D2B3D"/>
    <w:rsid w:val="003D2E45"/>
    <w:rsid w:val="003D33D4"/>
    <w:rsid w:val="003D3569"/>
    <w:rsid w:val="003D5F1B"/>
    <w:rsid w:val="003D6D3B"/>
    <w:rsid w:val="003E14DC"/>
    <w:rsid w:val="003E1523"/>
    <w:rsid w:val="003E1F22"/>
    <w:rsid w:val="003E2FC5"/>
    <w:rsid w:val="003E323D"/>
    <w:rsid w:val="003E36FC"/>
    <w:rsid w:val="003E4599"/>
    <w:rsid w:val="003E5816"/>
    <w:rsid w:val="003E6144"/>
    <w:rsid w:val="003E72BB"/>
    <w:rsid w:val="003E791E"/>
    <w:rsid w:val="003F0920"/>
    <w:rsid w:val="003F1109"/>
    <w:rsid w:val="003F1719"/>
    <w:rsid w:val="003F1797"/>
    <w:rsid w:val="003F1E01"/>
    <w:rsid w:val="003F2AB1"/>
    <w:rsid w:val="003F3BBD"/>
    <w:rsid w:val="003F4234"/>
    <w:rsid w:val="003F42CC"/>
    <w:rsid w:val="003F4798"/>
    <w:rsid w:val="003F48F5"/>
    <w:rsid w:val="003F4E36"/>
    <w:rsid w:val="003F5805"/>
    <w:rsid w:val="003F6FF2"/>
    <w:rsid w:val="003F768C"/>
    <w:rsid w:val="0040072F"/>
    <w:rsid w:val="00400AC9"/>
    <w:rsid w:val="0040120A"/>
    <w:rsid w:val="00401C8E"/>
    <w:rsid w:val="00402215"/>
    <w:rsid w:val="004029C2"/>
    <w:rsid w:val="00402BBD"/>
    <w:rsid w:val="004033EC"/>
    <w:rsid w:val="0040395C"/>
    <w:rsid w:val="004048F1"/>
    <w:rsid w:val="00405048"/>
    <w:rsid w:val="0040596C"/>
    <w:rsid w:val="004076B5"/>
    <w:rsid w:val="00407720"/>
    <w:rsid w:val="004107BC"/>
    <w:rsid w:val="00411DC7"/>
    <w:rsid w:val="004127EA"/>
    <w:rsid w:val="00412AA6"/>
    <w:rsid w:val="00412D73"/>
    <w:rsid w:val="00412FF7"/>
    <w:rsid w:val="00414DBC"/>
    <w:rsid w:val="00415110"/>
    <w:rsid w:val="00415E8F"/>
    <w:rsid w:val="00420294"/>
    <w:rsid w:val="0042091B"/>
    <w:rsid w:val="00421F7D"/>
    <w:rsid w:val="00425A1C"/>
    <w:rsid w:val="00426CA9"/>
    <w:rsid w:val="0042716B"/>
    <w:rsid w:val="004302F7"/>
    <w:rsid w:val="00430407"/>
    <w:rsid w:val="0043222D"/>
    <w:rsid w:val="004326E7"/>
    <w:rsid w:val="00432DBE"/>
    <w:rsid w:val="0043428B"/>
    <w:rsid w:val="00435BFB"/>
    <w:rsid w:val="00436FCD"/>
    <w:rsid w:val="004379CA"/>
    <w:rsid w:val="00440879"/>
    <w:rsid w:val="0044198D"/>
    <w:rsid w:val="0044220A"/>
    <w:rsid w:val="00442972"/>
    <w:rsid w:val="00443C77"/>
    <w:rsid w:val="00443DDB"/>
    <w:rsid w:val="00446309"/>
    <w:rsid w:val="004507EF"/>
    <w:rsid w:val="00450D42"/>
    <w:rsid w:val="004510DA"/>
    <w:rsid w:val="00455101"/>
    <w:rsid w:val="0045689D"/>
    <w:rsid w:val="00456FCA"/>
    <w:rsid w:val="0045759B"/>
    <w:rsid w:val="004578C4"/>
    <w:rsid w:val="00460274"/>
    <w:rsid w:val="00460FE1"/>
    <w:rsid w:val="00462C8C"/>
    <w:rsid w:val="00463314"/>
    <w:rsid w:val="00463A16"/>
    <w:rsid w:val="004644FA"/>
    <w:rsid w:val="00464D8C"/>
    <w:rsid w:val="0046583A"/>
    <w:rsid w:val="0046602F"/>
    <w:rsid w:val="004672DC"/>
    <w:rsid w:val="0046767D"/>
    <w:rsid w:val="00467BD9"/>
    <w:rsid w:val="004708AC"/>
    <w:rsid w:val="00470966"/>
    <w:rsid w:val="00471CD1"/>
    <w:rsid w:val="00473342"/>
    <w:rsid w:val="0047405D"/>
    <w:rsid w:val="00474B5A"/>
    <w:rsid w:val="0047552C"/>
    <w:rsid w:val="00475641"/>
    <w:rsid w:val="00476C73"/>
    <w:rsid w:val="00480065"/>
    <w:rsid w:val="004805C1"/>
    <w:rsid w:val="00481CF3"/>
    <w:rsid w:val="004849A4"/>
    <w:rsid w:val="00484C9D"/>
    <w:rsid w:val="00485506"/>
    <w:rsid w:val="00485585"/>
    <w:rsid w:val="00486E99"/>
    <w:rsid w:val="0049100E"/>
    <w:rsid w:val="00491283"/>
    <w:rsid w:val="004919B6"/>
    <w:rsid w:val="00491B91"/>
    <w:rsid w:val="00493010"/>
    <w:rsid w:val="004933CD"/>
    <w:rsid w:val="004936CC"/>
    <w:rsid w:val="00493931"/>
    <w:rsid w:val="00493D0E"/>
    <w:rsid w:val="00494744"/>
    <w:rsid w:val="00494D3E"/>
    <w:rsid w:val="00495ECF"/>
    <w:rsid w:val="00495F53"/>
    <w:rsid w:val="00497C77"/>
    <w:rsid w:val="00497EEF"/>
    <w:rsid w:val="004A03B1"/>
    <w:rsid w:val="004A1343"/>
    <w:rsid w:val="004A27C5"/>
    <w:rsid w:val="004A34AD"/>
    <w:rsid w:val="004A37C8"/>
    <w:rsid w:val="004A3D01"/>
    <w:rsid w:val="004A404D"/>
    <w:rsid w:val="004A408B"/>
    <w:rsid w:val="004A4A11"/>
    <w:rsid w:val="004A54F8"/>
    <w:rsid w:val="004A574A"/>
    <w:rsid w:val="004A597D"/>
    <w:rsid w:val="004A5B7F"/>
    <w:rsid w:val="004A5CD8"/>
    <w:rsid w:val="004A6CA0"/>
    <w:rsid w:val="004B0E5A"/>
    <w:rsid w:val="004B1701"/>
    <w:rsid w:val="004B1B3E"/>
    <w:rsid w:val="004B1FFD"/>
    <w:rsid w:val="004B288C"/>
    <w:rsid w:val="004B302A"/>
    <w:rsid w:val="004B3841"/>
    <w:rsid w:val="004B52A0"/>
    <w:rsid w:val="004B5F6F"/>
    <w:rsid w:val="004B6758"/>
    <w:rsid w:val="004C3BB6"/>
    <w:rsid w:val="004C456F"/>
    <w:rsid w:val="004C4DC8"/>
    <w:rsid w:val="004C5F9D"/>
    <w:rsid w:val="004D36C4"/>
    <w:rsid w:val="004D3FB1"/>
    <w:rsid w:val="004D40CB"/>
    <w:rsid w:val="004D4512"/>
    <w:rsid w:val="004D5AC6"/>
    <w:rsid w:val="004D5B99"/>
    <w:rsid w:val="004D670C"/>
    <w:rsid w:val="004D6B80"/>
    <w:rsid w:val="004D6CB6"/>
    <w:rsid w:val="004D7150"/>
    <w:rsid w:val="004D79CE"/>
    <w:rsid w:val="004D79D5"/>
    <w:rsid w:val="004E0089"/>
    <w:rsid w:val="004E0344"/>
    <w:rsid w:val="004E12F4"/>
    <w:rsid w:val="004E17CD"/>
    <w:rsid w:val="004E1DEA"/>
    <w:rsid w:val="004E1EAB"/>
    <w:rsid w:val="004E2B74"/>
    <w:rsid w:val="004E3903"/>
    <w:rsid w:val="004E3DED"/>
    <w:rsid w:val="004E47FB"/>
    <w:rsid w:val="004E5008"/>
    <w:rsid w:val="004E5D56"/>
    <w:rsid w:val="004E60CD"/>
    <w:rsid w:val="004E764D"/>
    <w:rsid w:val="004E7C01"/>
    <w:rsid w:val="004E7FD8"/>
    <w:rsid w:val="004F1BB4"/>
    <w:rsid w:val="004F23A3"/>
    <w:rsid w:val="004F2459"/>
    <w:rsid w:val="004F2C0B"/>
    <w:rsid w:val="004F2F0D"/>
    <w:rsid w:val="004F3758"/>
    <w:rsid w:val="004F3BF6"/>
    <w:rsid w:val="004F46A5"/>
    <w:rsid w:val="004F67CB"/>
    <w:rsid w:val="004F7545"/>
    <w:rsid w:val="004F7CBE"/>
    <w:rsid w:val="00500546"/>
    <w:rsid w:val="00501A7B"/>
    <w:rsid w:val="00502478"/>
    <w:rsid w:val="00503961"/>
    <w:rsid w:val="00504758"/>
    <w:rsid w:val="00504886"/>
    <w:rsid w:val="00505169"/>
    <w:rsid w:val="00507CFF"/>
    <w:rsid w:val="005112F8"/>
    <w:rsid w:val="00512133"/>
    <w:rsid w:val="00513657"/>
    <w:rsid w:val="00514966"/>
    <w:rsid w:val="0051685C"/>
    <w:rsid w:val="00516A85"/>
    <w:rsid w:val="0052208F"/>
    <w:rsid w:val="00522709"/>
    <w:rsid w:val="005246B7"/>
    <w:rsid w:val="00525C35"/>
    <w:rsid w:val="00525CAA"/>
    <w:rsid w:val="0052682F"/>
    <w:rsid w:val="005301A5"/>
    <w:rsid w:val="005309C0"/>
    <w:rsid w:val="0053192D"/>
    <w:rsid w:val="005327F3"/>
    <w:rsid w:val="00532909"/>
    <w:rsid w:val="005330CC"/>
    <w:rsid w:val="005338A3"/>
    <w:rsid w:val="0053440E"/>
    <w:rsid w:val="00534712"/>
    <w:rsid w:val="0053609A"/>
    <w:rsid w:val="005374AF"/>
    <w:rsid w:val="005374E4"/>
    <w:rsid w:val="0053755A"/>
    <w:rsid w:val="00540285"/>
    <w:rsid w:val="00540F61"/>
    <w:rsid w:val="005414E2"/>
    <w:rsid w:val="00542B4F"/>
    <w:rsid w:val="00542E6B"/>
    <w:rsid w:val="005432B5"/>
    <w:rsid w:val="005438AA"/>
    <w:rsid w:val="00545393"/>
    <w:rsid w:val="00545F36"/>
    <w:rsid w:val="00547D68"/>
    <w:rsid w:val="0055191D"/>
    <w:rsid w:val="0055220B"/>
    <w:rsid w:val="005534FC"/>
    <w:rsid w:val="00553D97"/>
    <w:rsid w:val="00553EFF"/>
    <w:rsid w:val="00554033"/>
    <w:rsid w:val="0055453B"/>
    <w:rsid w:val="005556EC"/>
    <w:rsid w:val="00555B5B"/>
    <w:rsid w:val="00556594"/>
    <w:rsid w:val="0055691C"/>
    <w:rsid w:val="005604B6"/>
    <w:rsid w:val="00561BC3"/>
    <w:rsid w:val="00562280"/>
    <w:rsid w:val="005637E1"/>
    <w:rsid w:val="00563F21"/>
    <w:rsid w:val="005648AD"/>
    <w:rsid w:val="0056556D"/>
    <w:rsid w:val="005657FB"/>
    <w:rsid w:val="00565D96"/>
    <w:rsid w:val="0056639C"/>
    <w:rsid w:val="0056660D"/>
    <w:rsid w:val="0056728E"/>
    <w:rsid w:val="005676DF"/>
    <w:rsid w:val="00570207"/>
    <w:rsid w:val="005702CB"/>
    <w:rsid w:val="00570594"/>
    <w:rsid w:val="00571908"/>
    <w:rsid w:val="00572863"/>
    <w:rsid w:val="00572C84"/>
    <w:rsid w:val="00573219"/>
    <w:rsid w:val="005734E3"/>
    <w:rsid w:val="00573617"/>
    <w:rsid w:val="00574513"/>
    <w:rsid w:val="00574BC8"/>
    <w:rsid w:val="00575FEB"/>
    <w:rsid w:val="0057664D"/>
    <w:rsid w:val="00576DC2"/>
    <w:rsid w:val="00577821"/>
    <w:rsid w:val="0058093F"/>
    <w:rsid w:val="00582D4C"/>
    <w:rsid w:val="005835C8"/>
    <w:rsid w:val="005847EC"/>
    <w:rsid w:val="005858EF"/>
    <w:rsid w:val="0058713F"/>
    <w:rsid w:val="00587534"/>
    <w:rsid w:val="00587669"/>
    <w:rsid w:val="00587ABC"/>
    <w:rsid w:val="0059044C"/>
    <w:rsid w:val="00590804"/>
    <w:rsid w:val="00591D61"/>
    <w:rsid w:val="0059204A"/>
    <w:rsid w:val="00592E0A"/>
    <w:rsid w:val="005931B2"/>
    <w:rsid w:val="00593C8A"/>
    <w:rsid w:val="00596558"/>
    <w:rsid w:val="0059676E"/>
    <w:rsid w:val="005A082A"/>
    <w:rsid w:val="005A0C94"/>
    <w:rsid w:val="005A1051"/>
    <w:rsid w:val="005A1A1F"/>
    <w:rsid w:val="005A3AE4"/>
    <w:rsid w:val="005A469E"/>
    <w:rsid w:val="005A4755"/>
    <w:rsid w:val="005A5748"/>
    <w:rsid w:val="005A67BC"/>
    <w:rsid w:val="005B08E9"/>
    <w:rsid w:val="005B19C1"/>
    <w:rsid w:val="005B256E"/>
    <w:rsid w:val="005B2F7F"/>
    <w:rsid w:val="005B3F3F"/>
    <w:rsid w:val="005B3F4A"/>
    <w:rsid w:val="005B438B"/>
    <w:rsid w:val="005B491F"/>
    <w:rsid w:val="005B4F1D"/>
    <w:rsid w:val="005B597F"/>
    <w:rsid w:val="005B666D"/>
    <w:rsid w:val="005B6FAF"/>
    <w:rsid w:val="005B783C"/>
    <w:rsid w:val="005B7911"/>
    <w:rsid w:val="005C0077"/>
    <w:rsid w:val="005C048D"/>
    <w:rsid w:val="005C0C94"/>
    <w:rsid w:val="005C33BF"/>
    <w:rsid w:val="005C3CC9"/>
    <w:rsid w:val="005C49C0"/>
    <w:rsid w:val="005C4C3F"/>
    <w:rsid w:val="005C5098"/>
    <w:rsid w:val="005C53E0"/>
    <w:rsid w:val="005C5FCD"/>
    <w:rsid w:val="005C602F"/>
    <w:rsid w:val="005C6DFA"/>
    <w:rsid w:val="005C6EB8"/>
    <w:rsid w:val="005C6EBD"/>
    <w:rsid w:val="005D05DF"/>
    <w:rsid w:val="005D0D1A"/>
    <w:rsid w:val="005D1041"/>
    <w:rsid w:val="005D295C"/>
    <w:rsid w:val="005D2B82"/>
    <w:rsid w:val="005D4DAA"/>
    <w:rsid w:val="005D684F"/>
    <w:rsid w:val="005D74B4"/>
    <w:rsid w:val="005E0424"/>
    <w:rsid w:val="005E2BA9"/>
    <w:rsid w:val="005E4878"/>
    <w:rsid w:val="005E5202"/>
    <w:rsid w:val="005E6324"/>
    <w:rsid w:val="005E6BD7"/>
    <w:rsid w:val="005E71B1"/>
    <w:rsid w:val="005F0D1E"/>
    <w:rsid w:val="005F143D"/>
    <w:rsid w:val="005F188A"/>
    <w:rsid w:val="005F19FD"/>
    <w:rsid w:val="005F4F4A"/>
    <w:rsid w:val="005F60F7"/>
    <w:rsid w:val="005F63E9"/>
    <w:rsid w:val="005F67E8"/>
    <w:rsid w:val="005F683E"/>
    <w:rsid w:val="005F7E31"/>
    <w:rsid w:val="005F7F8C"/>
    <w:rsid w:val="0060091B"/>
    <w:rsid w:val="006032E7"/>
    <w:rsid w:val="0060361F"/>
    <w:rsid w:val="00604DDE"/>
    <w:rsid w:val="00607172"/>
    <w:rsid w:val="0060777E"/>
    <w:rsid w:val="00607B59"/>
    <w:rsid w:val="00610415"/>
    <w:rsid w:val="00611D29"/>
    <w:rsid w:val="006125FA"/>
    <w:rsid w:val="006130F1"/>
    <w:rsid w:val="00613355"/>
    <w:rsid w:val="00614560"/>
    <w:rsid w:val="006149CD"/>
    <w:rsid w:val="00614DC3"/>
    <w:rsid w:val="006156A7"/>
    <w:rsid w:val="0061591F"/>
    <w:rsid w:val="0061595F"/>
    <w:rsid w:val="00620706"/>
    <w:rsid w:val="00620EFB"/>
    <w:rsid w:val="0062177C"/>
    <w:rsid w:val="00624A2C"/>
    <w:rsid w:val="00625F35"/>
    <w:rsid w:val="00626DFC"/>
    <w:rsid w:val="00627681"/>
    <w:rsid w:val="00630109"/>
    <w:rsid w:val="006308E0"/>
    <w:rsid w:val="006316F0"/>
    <w:rsid w:val="0063280F"/>
    <w:rsid w:val="00632993"/>
    <w:rsid w:val="00632A99"/>
    <w:rsid w:val="00633B4D"/>
    <w:rsid w:val="00634D85"/>
    <w:rsid w:val="00635824"/>
    <w:rsid w:val="00635AA9"/>
    <w:rsid w:val="006367A1"/>
    <w:rsid w:val="00636DCA"/>
    <w:rsid w:val="00637FA2"/>
    <w:rsid w:val="006401A5"/>
    <w:rsid w:val="006403CB"/>
    <w:rsid w:val="00640403"/>
    <w:rsid w:val="00640AC2"/>
    <w:rsid w:val="006410BE"/>
    <w:rsid w:val="00641C87"/>
    <w:rsid w:val="00643FF1"/>
    <w:rsid w:val="006455F7"/>
    <w:rsid w:val="006474EE"/>
    <w:rsid w:val="00647C99"/>
    <w:rsid w:val="00647D27"/>
    <w:rsid w:val="0065004F"/>
    <w:rsid w:val="00651018"/>
    <w:rsid w:val="00651876"/>
    <w:rsid w:val="006519FC"/>
    <w:rsid w:val="00652B6C"/>
    <w:rsid w:val="00653079"/>
    <w:rsid w:val="00653746"/>
    <w:rsid w:val="006561F3"/>
    <w:rsid w:val="00656615"/>
    <w:rsid w:val="00657A2D"/>
    <w:rsid w:val="00657F5E"/>
    <w:rsid w:val="006624F3"/>
    <w:rsid w:val="00663463"/>
    <w:rsid w:val="0066353D"/>
    <w:rsid w:val="00663BFF"/>
    <w:rsid w:val="0066517D"/>
    <w:rsid w:val="00666E55"/>
    <w:rsid w:val="00667727"/>
    <w:rsid w:val="006678DA"/>
    <w:rsid w:val="00667A2F"/>
    <w:rsid w:val="00667E0E"/>
    <w:rsid w:val="006708F8"/>
    <w:rsid w:val="00670B8D"/>
    <w:rsid w:val="00671D77"/>
    <w:rsid w:val="00671E48"/>
    <w:rsid w:val="00671FED"/>
    <w:rsid w:val="006721A7"/>
    <w:rsid w:val="00673746"/>
    <w:rsid w:val="006741E6"/>
    <w:rsid w:val="00674985"/>
    <w:rsid w:val="00674B94"/>
    <w:rsid w:val="00676B79"/>
    <w:rsid w:val="00676FEA"/>
    <w:rsid w:val="00677EB1"/>
    <w:rsid w:val="0068039A"/>
    <w:rsid w:val="00682734"/>
    <w:rsid w:val="00682D00"/>
    <w:rsid w:val="006839D8"/>
    <w:rsid w:val="00685670"/>
    <w:rsid w:val="00686219"/>
    <w:rsid w:val="006872CC"/>
    <w:rsid w:val="00687464"/>
    <w:rsid w:val="00687CCF"/>
    <w:rsid w:val="00690301"/>
    <w:rsid w:val="006919D0"/>
    <w:rsid w:val="00691E9F"/>
    <w:rsid w:val="00691F0A"/>
    <w:rsid w:val="006933FD"/>
    <w:rsid w:val="00693811"/>
    <w:rsid w:val="00693A7C"/>
    <w:rsid w:val="00694229"/>
    <w:rsid w:val="0069484B"/>
    <w:rsid w:val="00694B3E"/>
    <w:rsid w:val="006962F4"/>
    <w:rsid w:val="00697D92"/>
    <w:rsid w:val="006A14BD"/>
    <w:rsid w:val="006A1F2E"/>
    <w:rsid w:val="006A2A96"/>
    <w:rsid w:val="006A5414"/>
    <w:rsid w:val="006A5E59"/>
    <w:rsid w:val="006A60EB"/>
    <w:rsid w:val="006A7DD2"/>
    <w:rsid w:val="006B13F7"/>
    <w:rsid w:val="006B328B"/>
    <w:rsid w:val="006B33F8"/>
    <w:rsid w:val="006B340B"/>
    <w:rsid w:val="006B3B06"/>
    <w:rsid w:val="006B52B8"/>
    <w:rsid w:val="006B5489"/>
    <w:rsid w:val="006B5FC6"/>
    <w:rsid w:val="006B650F"/>
    <w:rsid w:val="006B7227"/>
    <w:rsid w:val="006C0556"/>
    <w:rsid w:val="006C1073"/>
    <w:rsid w:val="006C10F1"/>
    <w:rsid w:val="006C2243"/>
    <w:rsid w:val="006C345C"/>
    <w:rsid w:val="006C56D9"/>
    <w:rsid w:val="006C6515"/>
    <w:rsid w:val="006C68B4"/>
    <w:rsid w:val="006C70DA"/>
    <w:rsid w:val="006C7359"/>
    <w:rsid w:val="006D0B79"/>
    <w:rsid w:val="006D1403"/>
    <w:rsid w:val="006D1E2C"/>
    <w:rsid w:val="006D1E6D"/>
    <w:rsid w:val="006D3051"/>
    <w:rsid w:val="006D36F5"/>
    <w:rsid w:val="006D4480"/>
    <w:rsid w:val="006D524A"/>
    <w:rsid w:val="006D52CB"/>
    <w:rsid w:val="006D5937"/>
    <w:rsid w:val="006D6121"/>
    <w:rsid w:val="006D7D8F"/>
    <w:rsid w:val="006D7EC8"/>
    <w:rsid w:val="006E1759"/>
    <w:rsid w:val="006E20F8"/>
    <w:rsid w:val="006E2253"/>
    <w:rsid w:val="006E28E3"/>
    <w:rsid w:val="006E3A44"/>
    <w:rsid w:val="006E3F3F"/>
    <w:rsid w:val="006E4858"/>
    <w:rsid w:val="006E6233"/>
    <w:rsid w:val="006E6A06"/>
    <w:rsid w:val="006E7A8B"/>
    <w:rsid w:val="006F06CC"/>
    <w:rsid w:val="006F0DC5"/>
    <w:rsid w:val="006F1083"/>
    <w:rsid w:val="006F1242"/>
    <w:rsid w:val="006F1943"/>
    <w:rsid w:val="006F1F64"/>
    <w:rsid w:val="006F202E"/>
    <w:rsid w:val="006F369A"/>
    <w:rsid w:val="006F39E2"/>
    <w:rsid w:val="006F3D59"/>
    <w:rsid w:val="006F49F6"/>
    <w:rsid w:val="006F52E2"/>
    <w:rsid w:val="006F5436"/>
    <w:rsid w:val="0070003F"/>
    <w:rsid w:val="0070071B"/>
    <w:rsid w:val="00701B77"/>
    <w:rsid w:val="00702DED"/>
    <w:rsid w:val="00702F3F"/>
    <w:rsid w:val="00706726"/>
    <w:rsid w:val="00707978"/>
    <w:rsid w:val="00707F79"/>
    <w:rsid w:val="0071032C"/>
    <w:rsid w:val="00710445"/>
    <w:rsid w:val="0071049B"/>
    <w:rsid w:val="00711039"/>
    <w:rsid w:val="00711CF1"/>
    <w:rsid w:val="00712792"/>
    <w:rsid w:val="00712A04"/>
    <w:rsid w:val="0071341D"/>
    <w:rsid w:val="007138EE"/>
    <w:rsid w:val="00713F5B"/>
    <w:rsid w:val="007141B8"/>
    <w:rsid w:val="0071479F"/>
    <w:rsid w:val="00714CD7"/>
    <w:rsid w:val="00714FEA"/>
    <w:rsid w:val="00717CC0"/>
    <w:rsid w:val="0072095C"/>
    <w:rsid w:val="00720A96"/>
    <w:rsid w:val="00722363"/>
    <w:rsid w:val="00722B6A"/>
    <w:rsid w:val="007232A8"/>
    <w:rsid w:val="00723347"/>
    <w:rsid w:val="00724DBE"/>
    <w:rsid w:val="00725E02"/>
    <w:rsid w:val="00727E36"/>
    <w:rsid w:val="00730432"/>
    <w:rsid w:val="00731004"/>
    <w:rsid w:val="00731F14"/>
    <w:rsid w:val="00733042"/>
    <w:rsid w:val="00733C79"/>
    <w:rsid w:val="00735821"/>
    <w:rsid w:val="00735A65"/>
    <w:rsid w:val="0073664A"/>
    <w:rsid w:val="00736733"/>
    <w:rsid w:val="00736A90"/>
    <w:rsid w:val="007371B7"/>
    <w:rsid w:val="007371DD"/>
    <w:rsid w:val="00737BE2"/>
    <w:rsid w:val="00740746"/>
    <w:rsid w:val="00740D19"/>
    <w:rsid w:val="00741EAE"/>
    <w:rsid w:val="00742F5E"/>
    <w:rsid w:val="00744A42"/>
    <w:rsid w:val="00745E4C"/>
    <w:rsid w:val="007464D9"/>
    <w:rsid w:val="00746780"/>
    <w:rsid w:val="00746FE9"/>
    <w:rsid w:val="007479E1"/>
    <w:rsid w:val="007500E9"/>
    <w:rsid w:val="0075058B"/>
    <w:rsid w:val="00750ADD"/>
    <w:rsid w:val="00750C21"/>
    <w:rsid w:val="00752121"/>
    <w:rsid w:val="007524B4"/>
    <w:rsid w:val="00752B44"/>
    <w:rsid w:val="007532C6"/>
    <w:rsid w:val="00753F60"/>
    <w:rsid w:val="0075409A"/>
    <w:rsid w:val="00754EEE"/>
    <w:rsid w:val="00756CE8"/>
    <w:rsid w:val="00756EEF"/>
    <w:rsid w:val="0075727D"/>
    <w:rsid w:val="00757FBB"/>
    <w:rsid w:val="00761022"/>
    <w:rsid w:val="007614C5"/>
    <w:rsid w:val="007624A5"/>
    <w:rsid w:val="0076371B"/>
    <w:rsid w:val="00763A05"/>
    <w:rsid w:val="00764171"/>
    <w:rsid w:val="00764299"/>
    <w:rsid w:val="007649D6"/>
    <w:rsid w:val="0076583C"/>
    <w:rsid w:val="0076630A"/>
    <w:rsid w:val="007670E0"/>
    <w:rsid w:val="007675D4"/>
    <w:rsid w:val="00770E89"/>
    <w:rsid w:val="007720AE"/>
    <w:rsid w:val="00774914"/>
    <w:rsid w:val="007749BD"/>
    <w:rsid w:val="00775011"/>
    <w:rsid w:val="00776620"/>
    <w:rsid w:val="0077682A"/>
    <w:rsid w:val="0078195F"/>
    <w:rsid w:val="00781FEC"/>
    <w:rsid w:val="00782A6A"/>
    <w:rsid w:val="00783CB3"/>
    <w:rsid w:val="00783F22"/>
    <w:rsid w:val="007852CF"/>
    <w:rsid w:val="00785567"/>
    <w:rsid w:val="00785BB4"/>
    <w:rsid w:val="007863A7"/>
    <w:rsid w:val="00791603"/>
    <w:rsid w:val="00791A55"/>
    <w:rsid w:val="00791DC6"/>
    <w:rsid w:val="00792B7B"/>
    <w:rsid w:val="00792EEA"/>
    <w:rsid w:val="00793549"/>
    <w:rsid w:val="007937ED"/>
    <w:rsid w:val="00793973"/>
    <w:rsid w:val="007939EB"/>
    <w:rsid w:val="00794870"/>
    <w:rsid w:val="007962F3"/>
    <w:rsid w:val="007963C9"/>
    <w:rsid w:val="00797C94"/>
    <w:rsid w:val="007A055B"/>
    <w:rsid w:val="007A1625"/>
    <w:rsid w:val="007A1B1F"/>
    <w:rsid w:val="007A2BB3"/>
    <w:rsid w:val="007A3033"/>
    <w:rsid w:val="007A3A37"/>
    <w:rsid w:val="007A4066"/>
    <w:rsid w:val="007A423B"/>
    <w:rsid w:val="007A4E3B"/>
    <w:rsid w:val="007A525F"/>
    <w:rsid w:val="007A5332"/>
    <w:rsid w:val="007A549F"/>
    <w:rsid w:val="007A5669"/>
    <w:rsid w:val="007A6318"/>
    <w:rsid w:val="007A7898"/>
    <w:rsid w:val="007B0007"/>
    <w:rsid w:val="007B02F9"/>
    <w:rsid w:val="007B086C"/>
    <w:rsid w:val="007B133E"/>
    <w:rsid w:val="007B1C72"/>
    <w:rsid w:val="007B3392"/>
    <w:rsid w:val="007B3609"/>
    <w:rsid w:val="007B3D44"/>
    <w:rsid w:val="007B3D58"/>
    <w:rsid w:val="007B49A3"/>
    <w:rsid w:val="007B4B7E"/>
    <w:rsid w:val="007B5517"/>
    <w:rsid w:val="007B7198"/>
    <w:rsid w:val="007B7F6E"/>
    <w:rsid w:val="007C3098"/>
    <w:rsid w:val="007C335F"/>
    <w:rsid w:val="007C3B23"/>
    <w:rsid w:val="007C3C2F"/>
    <w:rsid w:val="007C3D05"/>
    <w:rsid w:val="007C7943"/>
    <w:rsid w:val="007D0E5B"/>
    <w:rsid w:val="007D2888"/>
    <w:rsid w:val="007D2C37"/>
    <w:rsid w:val="007D380A"/>
    <w:rsid w:val="007D3B73"/>
    <w:rsid w:val="007D3D3C"/>
    <w:rsid w:val="007D5378"/>
    <w:rsid w:val="007D5425"/>
    <w:rsid w:val="007D54EA"/>
    <w:rsid w:val="007D7007"/>
    <w:rsid w:val="007D7240"/>
    <w:rsid w:val="007E008F"/>
    <w:rsid w:val="007E07FA"/>
    <w:rsid w:val="007E1584"/>
    <w:rsid w:val="007E37F1"/>
    <w:rsid w:val="007E423F"/>
    <w:rsid w:val="007E4FCE"/>
    <w:rsid w:val="007E5949"/>
    <w:rsid w:val="007E6E9A"/>
    <w:rsid w:val="007E74F0"/>
    <w:rsid w:val="007E7B10"/>
    <w:rsid w:val="007F02C0"/>
    <w:rsid w:val="007F0FF4"/>
    <w:rsid w:val="007F1D02"/>
    <w:rsid w:val="007F2D22"/>
    <w:rsid w:val="007F2DC4"/>
    <w:rsid w:val="007F3596"/>
    <w:rsid w:val="007F37A5"/>
    <w:rsid w:val="007F3EE0"/>
    <w:rsid w:val="007F4A0A"/>
    <w:rsid w:val="007F54E8"/>
    <w:rsid w:val="007F5D34"/>
    <w:rsid w:val="007F703D"/>
    <w:rsid w:val="00800D3E"/>
    <w:rsid w:val="008038AE"/>
    <w:rsid w:val="00803BBF"/>
    <w:rsid w:val="00803D52"/>
    <w:rsid w:val="00804BEF"/>
    <w:rsid w:val="00804CAC"/>
    <w:rsid w:val="00805CC3"/>
    <w:rsid w:val="00806223"/>
    <w:rsid w:val="0080676B"/>
    <w:rsid w:val="008069DF"/>
    <w:rsid w:val="00810AB0"/>
    <w:rsid w:val="0081145B"/>
    <w:rsid w:val="008117FA"/>
    <w:rsid w:val="00811FE6"/>
    <w:rsid w:val="00812716"/>
    <w:rsid w:val="00813C03"/>
    <w:rsid w:val="00814CF9"/>
    <w:rsid w:val="00815575"/>
    <w:rsid w:val="00815646"/>
    <w:rsid w:val="00815F95"/>
    <w:rsid w:val="00816677"/>
    <w:rsid w:val="00816849"/>
    <w:rsid w:val="00817EDE"/>
    <w:rsid w:val="00821960"/>
    <w:rsid w:val="00822E80"/>
    <w:rsid w:val="00824134"/>
    <w:rsid w:val="00824778"/>
    <w:rsid w:val="00825A18"/>
    <w:rsid w:val="008266F3"/>
    <w:rsid w:val="008274B4"/>
    <w:rsid w:val="0083054B"/>
    <w:rsid w:val="00830F25"/>
    <w:rsid w:val="00833CB8"/>
    <w:rsid w:val="0083494B"/>
    <w:rsid w:val="00834CBD"/>
    <w:rsid w:val="0084001A"/>
    <w:rsid w:val="00841425"/>
    <w:rsid w:val="00841CBC"/>
    <w:rsid w:val="00842ACA"/>
    <w:rsid w:val="00842C73"/>
    <w:rsid w:val="0084441A"/>
    <w:rsid w:val="00846500"/>
    <w:rsid w:val="008471BC"/>
    <w:rsid w:val="008500C8"/>
    <w:rsid w:val="00850FD4"/>
    <w:rsid w:val="008519E6"/>
    <w:rsid w:val="00852ABD"/>
    <w:rsid w:val="00852B0C"/>
    <w:rsid w:val="00852C46"/>
    <w:rsid w:val="008530CD"/>
    <w:rsid w:val="00854532"/>
    <w:rsid w:val="00855479"/>
    <w:rsid w:val="008574CD"/>
    <w:rsid w:val="0086046E"/>
    <w:rsid w:val="008604D1"/>
    <w:rsid w:val="00861599"/>
    <w:rsid w:val="00861803"/>
    <w:rsid w:val="00861C4D"/>
    <w:rsid w:val="0086351C"/>
    <w:rsid w:val="0086396D"/>
    <w:rsid w:val="00864617"/>
    <w:rsid w:val="00865CE0"/>
    <w:rsid w:val="00866C5B"/>
    <w:rsid w:val="00867F48"/>
    <w:rsid w:val="00871F44"/>
    <w:rsid w:val="00872D7E"/>
    <w:rsid w:val="00872D9A"/>
    <w:rsid w:val="0087328B"/>
    <w:rsid w:val="00873C81"/>
    <w:rsid w:val="00874ADA"/>
    <w:rsid w:val="008761BF"/>
    <w:rsid w:val="00876A0F"/>
    <w:rsid w:val="00877AAB"/>
    <w:rsid w:val="00880515"/>
    <w:rsid w:val="00880FAB"/>
    <w:rsid w:val="00881FCB"/>
    <w:rsid w:val="008830C2"/>
    <w:rsid w:val="00883330"/>
    <w:rsid w:val="00883BE7"/>
    <w:rsid w:val="00884A86"/>
    <w:rsid w:val="00885D1A"/>
    <w:rsid w:val="00887066"/>
    <w:rsid w:val="008870ED"/>
    <w:rsid w:val="008871A2"/>
    <w:rsid w:val="00887D97"/>
    <w:rsid w:val="00887E51"/>
    <w:rsid w:val="008913FA"/>
    <w:rsid w:val="008928CA"/>
    <w:rsid w:val="00894F8D"/>
    <w:rsid w:val="00895094"/>
    <w:rsid w:val="00895CAC"/>
    <w:rsid w:val="00895CB4"/>
    <w:rsid w:val="00897ABC"/>
    <w:rsid w:val="008A018B"/>
    <w:rsid w:val="008A1A05"/>
    <w:rsid w:val="008A3200"/>
    <w:rsid w:val="008A3220"/>
    <w:rsid w:val="008A3B7A"/>
    <w:rsid w:val="008A3B98"/>
    <w:rsid w:val="008A3CC4"/>
    <w:rsid w:val="008A4231"/>
    <w:rsid w:val="008A4449"/>
    <w:rsid w:val="008A46C2"/>
    <w:rsid w:val="008A4C6C"/>
    <w:rsid w:val="008A505F"/>
    <w:rsid w:val="008A54A0"/>
    <w:rsid w:val="008A6BF1"/>
    <w:rsid w:val="008A70CA"/>
    <w:rsid w:val="008A71C9"/>
    <w:rsid w:val="008A7C6B"/>
    <w:rsid w:val="008B0A15"/>
    <w:rsid w:val="008B0E4E"/>
    <w:rsid w:val="008B16E9"/>
    <w:rsid w:val="008B20BF"/>
    <w:rsid w:val="008B2794"/>
    <w:rsid w:val="008B2D13"/>
    <w:rsid w:val="008B4626"/>
    <w:rsid w:val="008B4F0F"/>
    <w:rsid w:val="008B609E"/>
    <w:rsid w:val="008B6B4C"/>
    <w:rsid w:val="008C0C90"/>
    <w:rsid w:val="008C127A"/>
    <w:rsid w:val="008C15FA"/>
    <w:rsid w:val="008C3225"/>
    <w:rsid w:val="008C349A"/>
    <w:rsid w:val="008C522B"/>
    <w:rsid w:val="008C5291"/>
    <w:rsid w:val="008C65CE"/>
    <w:rsid w:val="008D02B7"/>
    <w:rsid w:val="008D25BC"/>
    <w:rsid w:val="008D2795"/>
    <w:rsid w:val="008D2BF5"/>
    <w:rsid w:val="008D2F38"/>
    <w:rsid w:val="008D409C"/>
    <w:rsid w:val="008D4A65"/>
    <w:rsid w:val="008D4BD8"/>
    <w:rsid w:val="008D4D9A"/>
    <w:rsid w:val="008D5008"/>
    <w:rsid w:val="008D58D2"/>
    <w:rsid w:val="008D7619"/>
    <w:rsid w:val="008E0AFB"/>
    <w:rsid w:val="008E0D67"/>
    <w:rsid w:val="008E0DA3"/>
    <w:rsid w:val="008E0E6F"/>
    <w:rsid w:val="008E14BB"/>
    <w:rsid w:val="008E212B"/>
    <w:rsid w:val="008E3D59"/>
    <w:rsid w:val="008E3DD1"/>
    <w:rsid w:val="008E444D"/>
    <w:rsid w:val="008E4769"/>
    <w:rsid w:val="008E4ECE"/>
    <w:rsid w:val="008E56A3"/>
    <w:rsid w:val="008E5C28"/>
    <w:rsid w:val="008E6D18"/>
    <w:rsid w:val="008E7480"/>
    <w:rsid w:val="008F0C1F"/>
    <w:rsid w:val="008F159A"/>
    <w:rsid w:val="008F17C2"/>
    <w:rsid w:val="008F1FAC"/>
    <w:rsid w:val="008F29E1"/>
    <w:rsid w:val="008F2B61"/>
    <w:rsid w:val="008F705D"/>
    <w:rsid w:val="008F7099"/>
    <w:rsid w:val="009008A0"/>
    <w:rsid w:val="009009BD"/>
    <w:rsid w:val="009025F9"/>
    <w:rsid w:val="0090264C"/>
    <w:rsid w:val="00902E8E"/>
    <w:rsid w:val="00905232"/>
    <w:rsid w:val="00905DBF"/>
    <w:rsid w:val="00910F95"/>
    <w:rsid w:val="009113B0"/>
    <w:rsid w:val="00913E60"/>
    <w:rsid w:val="0091441A"/>
    <w:rsid w:val="00914DEA"/>
    <w:rsid w:val="00917B9D"/>
    <w:rsid w:val="00920153"/>
    <w:rsid w:val="00920C43"/>
    <w:rsid w:val="00920E24"/>
    <w:rsid w:val="00920E97"/>
    <w:rsid w:val="009212A5"/>
    <w:rsid w:val="009217B9"/>
    <w:rsid w:val="00923961"/>
    <w:rsid w:val="00924045"/>
    <w:rsid w:val="00924515"/>
    <w:rsid w:val="00924CB3"/>
    <w:rsid w:val="00925312"/>
    <w:rsid w:val="00925C03"/>
    <w:rsid w:val="00925C27"/>
    <w:rsid w:val="00926E20"/>
    <w:rsid w:val="00926F7E"/>
    <w:rsid w:val="009304E0"/>
    <w:rsid w:val="00932819"/>
    <w:rsid w:val="009328A9"/>
    <w:rsid w:val="00932B7E"/>
    <w:rsid w:val="00932C18"/>
    <w:rsid w:val="009335FD"/>
    <w:rsid w:val="00933FD1"/>
    <w:rsid w:val="0093437F"/>
    <w:rsid w:val="00934E35"/>
    <w:rsid w:val="009356D1"/>
    <w:rsid w:val="00935B69"/>
    <w:rsid w:val="00935F60"/>
    <w:rsid w:val="0093679A"/>
    <w:rsid w:val="009367AC"/>
    <w:rsid w:val="00936D6C"/>
    <w:rsid w:val="00937437"/>
    <w:rsid w:val="00937ABA"/>
    <w:rsid w:val="00937B7B"/>
    <w:rsid w:val="00940BEB"/>
    <w:rsid w:val="00941019"/>
    <w:rsid w:val="00941445"/>
    <w:rsid w:val="00941D2B"/>
    <w:rsid w:val="00941F32"/>
    <w:rsid w:val="0094352A"/>
    <w:rsid w:val="009439E3"/>
    <w:rsid w:val="00943F2A"/>
    <w:rsid w:val="00945F4C"/>
    <w:rsid w:val="009462FA"/>
    <w:rsid w:val="00946C96"/>
    <w:rsid w:val="00947C81"/>
    <w:rsid w:val="00950114"/>
    <w:rsid w:val="009502A2"/>
    <w:rsid w:val="00950D7D"/>
    <w:rsid w:val="00950DE4"/>
    <w:rsid w:val="0095140D"/>
    <w:rsid w:val="009537AA"/>
    <w:rsid w:val="0095528E"/>
    <w:rsid w:val="00955CE9"/>
    <w:rsid w:val="0095600A"/>
    <w:rsid w:val="00960D1F"/>
    <w:rsid w:val="00960E14"/>
    <w:rsid w:val="00961206"/>
    <w:rsid w:val="009617DF"/>
    <w:rsid w:val="00961921"/>
    <w:rsid w:val="0096194A"/>
    <w:rsid w:val="00961DE5"/>
    <w:rsid w:val="00962AB2"/>
    <w:rsid w:val="00962ED8"/>
    <w:rsid w:val="00963612"/>
    <w:rsid w:val="0096375B"/>
    <w:rsid w:val="00964941"/>
    <w:rsid w:val="009656E4"/>
    <w:rsid w:val="0097076F"/>
    <w:rsid w:val="00971B1D"/>
    <w:rsid w:val="00972BFC"/>
    <w:rsid w:val="0097591A"/>
    <w:rsid w:val="009759C6"/>
    <w:rsid w:val="009774B1"/>
    <w:rsid w:val="00977752"/>
    <w:rsid w:val="00977932"/>
    <w:rsid w:val="00980406"/>
    <w:rsid w:val="0098190C"/>
    <w:rsid w:val="009826FC"/>
    <w:rsid w:val="009834B0"/>
    <w:rsid w:val="00983FB6"/>
    <w:rsid w:val="0098425B"/>
    <w:rsid w:val="00984377"/>
    <w:rsid w:val="00985534"/>
    <w:rsid w:val="009874D1"/>
    <w:rsid w:val="00987FEC"/>
    <w:rsid w:val="0099007C"/>
    <w:rsid w:val="00991C23"/>
    <w:rsid w:val="009943DD"/>
    <w:rsid w:val="00994400"/>
    <w:rsid w:val="00994447"/>
    <w:rsid w:val="00994DF0"/>
    <w:rsid w:val="009955A6"/>
    <w:rsid w:val="00995ACE"/>
    <w:rsid w:val="00996132"/>
    <w:rsid w:val="00996587"/>
    <w:rsid w:val="0099763A"/>
    <w:rsid w:val="009A0AAC"/>
    <w:rsid w:val="009A3AAF"/>
    <w:rsid w:val="009A3FD4"/>
    <w:rsid w:val="009A42E5"/>
    <w:rsid w:val="009A53BD"/>
    <w:rsid w:val="009A554B"/>
    <w:rsid w:val="009A57BB"/>
    <w:rsid w:val="009A5DF7"/>
    <w:rsid w:val="009A5F85"/>
    <w:rsid w:val="009A5F95"/>
    <w:rsid w:val="009A61F6"/>
    <w:rsid w:val="009A78B3"/>
    <w:rsid w:val="009B1A9A"/>
    <w:rsid w:val="009B4949"/>
    <w:rsid w:val="009B4E4A"/>
    <w:rsid w:val="009B5AEC"/>
    <w:rsid w:val="009B5CF4"/>
    <w:rsid w:val="009B76C5"/>
    <w:rsid w:val="009C12FA"/>
    <w:rsid w:val="009C2438"/>
    <w:rsid w:val="009C353E"/>
    <w:rsid w:val="009C64DD"/>
    <w:rsid w:val="009D043F"/>
    <w:rsid w:val="009D09C6"/>
    <w:rsid w:val="009D12DF"/>
    <w:rsid w:val="009D1720"/>
    <w:rsid w:val="009D2183"/>
    <w:rsid w:val="009D21CF"/>
    <w:rsid w:val="009D25BB"/>
    <w:rsid w:val="009D26B1"/>
    <w:rsid w:val="009D4438"/>
    <w:rsid w:val="009D5F9B"/>
    <w:rsid w:val="009D64EE"/>
    <w:rsid w:val="009E134E"/>
    <w:rsid w:val="009E1CB3"/>
    <w:rsid w:val="009E29A3"/>
    <w:rsid w:val="009E2FD2"/>
    <w:rsid w:val="009E2FD4"/>
    <w:rsid w:val="009E3250"/>
    <w:rsid w:val="009E4183"/>
    <w:rsid w:val="009E4712"/>
    <w:rsid w:val="009E5B92"/>
    <w:rsid w:val="009E5BFD"/>
    <w:rsid w:val="009E6265"/>
    <w:rsid w:val="009E682A"/>
    <w:rsid w:val="009F1329"/>
    <w:rsid w:val="009F3615"/>
    <w:rsid w:val="009F39F0"/>
    <w:rsid w:val="009F464C"/>
    <w:rsid w:val="009F55A4"/>
    <w:rsid w:val="009F6754"/>
    <w:rsid w:val="009F71DC"/>
    <w:rsid w:val="009F7685"/>
    <w:rsid w:val="00A0025A"/>
    <w:rsid w:val="00A005B8"/>
    <w:rsid w:val="00A033A1"/>
    <w:rsid w:val="00A04FFC"/>
    <w:rsid w:val="00A068A8"/>
    <w:rsid w:val="00A106B0"/>
    <w:rsid w:val="00A10CA2"/>
    <w:rsid w:val="00A121C1"/>
    <w:rsid w:val="00A12FA7"/>
    <w:rsid w:val="00A13213"/>
    <w:rsid w:val="00A133A4"/>
    <w:rsid w:val="00A14E92"/>
    <w:rsid w:val="00A16F85"/>
    <w:rsid w:val="00A17496"/>
    <w:rsid w:val="00A178F1"/>
    <w:rsid w:val="00A200E0"/>
    <w:rsid w:val="00A2019E"/>
    <w:rsid w:val="00A211D7"/>
    <w:rsid w:val="00A2130A"/>
    <w:rsid w:val="00A2152E"/>
    <w:rsid w:val="00A21D2E"/>
    <w:rsid w:val="00A24CF1"/>
    <w:rsid w:val="00A252C3"/>
    <w:rsid w:val="00A25435"/>
    <w:rsid w:val="00A26CC9"/>
    <w:rsid w:val="00A26CE3"/>
    <w:rsid w:val="00A272A7"/>
    <w:rsid w:val="00A27EFB"/>
    <w:rsid w:val="00A30656"/>
    <w:rsid w:val="00A30899"/>
    <w:rsid w:val="00A30DE2"/>
    <w:rsid w:val="00A30E6A"/>
    <w:rsid w:val="00A31253"/>
    <w:rsid w:val="00A31905"/>
    <w:rsid w:val="00A31E29"/>
    <w:rsid w:val="00A32638"/>
    <w:rsid w:val="00A3526F"/>
    <w:rsid w:val="00A36C76"/>
    <w:rsid w:val="00A36D46"/>
    <w:rsid w:val="00A37095"/>
    <w:rsid w:val="00A37882"/>
    <w:rsid w:val="00A40A5F"/>
    <w:rsid w:val="00A4129D"/>
    <w:rsid w:val="00A42799"/>
    <w:rsid w:val="00A42C49"/>
    <w:rsid w:val="00A4317A"/>
    <w:rsid w:val="00A43182"/>
    <w:rsid w:val="00A4318F"/>
    <w:rsid w:val="00A458BC"/>
    <w:rsid w:val="00A45E65"/>
    <w:rsid w:val="00A4625A"/>
    <w:rsid w:val="00A467D7"/>
    <w:rsid w:val="00A46C39"/>
    <w:rsid w:val="00A50E4C"/>
    <w:rsid w:val="00A51FA3"/>
    <w:rsid w:val="00A522EF"/>
    <w:rsid w:val="00A5230F"/>
    <w:rsid w:val="00A524E1"/>
    <w:rsid w:val="00A54AF7"/>
    <w:rsid w:val="00A55D77"/>
    <w:rsid w:val="00A60733"/>
    <w:rsid w:val="00A6085D"/>
    <w:rsid w:val="00A6179B"/>
    <w:rsid w:val="00A61FB8"/>
    <w:rsid w:val="00A626A9"/>
    <w:rsid w:val="00A63012"/>
    <w:rsid w:val="00A644D7"/>
    <w:rsid w:val="00A64A2B"/>
    <w:rsid w:val="00A64CC2"/>
    <w:rsid w:val="00A65265"/>
    <w:rsid w:val="00A664F2"/>
    <w:rsid w:val="00A67608"/>
    <w:rsid w:val="00A67833"/>
    <w:rsid w:val="00A67C5A"/>
    <w:rsid w:val="00A7013A"/>
    <w:rsid w:val="00A70416"/>
    <w:rsid w:val="00A71821"/>
    <w:rsid w:val="00A71D6A"/>
    <w:rsid w:val="00A735D7"/>
    <w:rsid w:val="00A73B60"/>
    <w:rsid w:val="00A740FF"/>
    <w:rsid w:val="00A74D3E"/>
    <w:rsid w:val="00A74DC9"/>
    <w:rsid w:val="00A751E6"/>
    <w:rsid w:val="00A754BF"/>
    <w:rsid w:val="00A7662A"/>
    <w:rsid w:val="00A76742"/>
    <w:rsid w:val="00A770D4"/>
    <w:rsid w:val="00A77255"/>
    <w:rsid w:val="00A800A4"/>
    <w:rsid w:val="00A80107"/>
    <w:rsid w:val="00A8187D"/>
    <w:rsid w:val="00A8277D"/>
    <w:rsid w:val="00A82CEF"/>
    <w:rsid w:val="00A82DB9"/>
    <w:rsid w:val="00A83E9E"/>
    <w:rsid w:val="00A8432B"/>
    <w:rsid w:val="00A843E7"/>
    <w:rsid w:val="00A86425"/>
    <w:rsid w:val="00A878D2"/>
    <w:rsid w:val="00A90EF3"/>
    <w:rsid w:val="00A91CAD"/>
    <w:rsid w:val="00A91EF0"/>
    <w:rsid w:val="00A91F7D"/>
    <w:rsid w:val="00A921AD"/>
    <w:rsid w:val="00A92867"/>
    <w:rsid w:val="00A946B4"/>
    <w:rsid w:val="00A964FF"/>
    <w:rsid w:val="00A96A11"/>
    <w:rsid w:val="00AA05CB"/>
    <w:rsid w:val="00AA1475"/>
    <w:rsid w:val="00AA14B9"/>
    <w:rsid w:val="00AA1702"/>
    <w:rsid w:val="00AA1CB9"/>
    <w:rsid w:val="00AA2E88"/>
    <w:rsid w:val="00AA3A94"/>
    <w:rsid w:val="00AA4697"/>
    <w:rsid w:val="00AA53FF"/>
    <w:rsid w:val="00AA5D1F"/>
    <w:rsid w:val="00AA5E7A"/>
    <w:rsid w:val="00AA5F9E"/>
    <w:rsid w:val="00AA6C6E"/>
    <w:rsid w:val="00AA74CF"/>
    <w:rsid w:val="00AA76D3"/>
    <w:rsid w:val="00AA7D55"/>
    <w:rsid w:val="00AB0880"/>
    <w:rsid w:val="00AB0CCD"/>
    <w:rsid w:val="00AB1394"/>
    <w:rsid w:val="00AB287D"/>
    <w:rsid w:val="00AB6533"/>
    <w:rsid w:val="00AB667D"/>
    <w:rsid w:val="00AB717C"/>
    <w:rsid w:val="00AB7E94"/>
    <w:rsid w:val="00AC16E0"/>
    <w:rsid w:val="00AC1A68"/>
    <w:rsid w:val="00AC1BA0"/>
    <w:rsid w:val="00AC2864"/>
    <w:rsid w:val="00AC28A9"/>
    <w:rsid w:val="00AC3392"/>
    <w:rsid w:val="00AC3DC8"/>
    <w:rsid w:val="00AC453B"/>
    <w:rsid w:val="00AC4BA9"/>
    <w:rsid w:val="00AC4FAC"/>
    <w:rsid w:val="00AC6B6D"/>
    <w:rsid w:val="00AC6C3F"/>
    <w:rsid w:val="00AC6E55"/>
    <w:rsid w:val="00AD1A38"/>
    <w:rsid w:val="00AD208F"/>
    <w:rsid w:val="00AD3C51"/>
    <w:rsid w:val="00AD3E83"/>
    <w:rsid w:val="00AD3FD1"/>
    <w:rsid w:val="00AD4038"/>
    <w:rsid w:val="00AD4058"/>
    <w:rsid w:val="00AD59BF"/>
    <w:rsid w:val="00AD7647"/>
    <w:rsid w:val="00AD7C4B"/>
    <w:rsid w:val="00AE0106"/>
    <w:rsid w:val="00AE1440"/>
    <w:rsid w:val="00AE1489"/>
    <w:rsid w:val="00AE15B9"/>
    <w:rsid w:val="00AE19BD"/>
    <w:rsid w:val="00AE1A57"/>
    <w:rsid w:val="00AE23D5"/>
    <w:rsid w:val="00AE35B7"/>
    <w:rsid w:val="00AE3A66"/>
    <w:rsid w:val="00AE45F1"/>
    <w:rsid w:val="00AE5471"/>
    <w:rsid w:val="00AE5CB0"/>
    <w:rsid w:val="00AE71E5"/>
    <w:rsid w:val="00AE79D7"/>
    <w:rsid w:val="00AF0587"/>
    <w:rsid w:val="00AF3268"/>
    <w:rsid w:val="00AF3F2F"/>
    <w:rsid w:val="00AF4353"/>
    <w:rsid w:val="00AF4D1A"/>
    <w:rsid w:val="00AF58CD"/>
    <w:rsid w:val="00AF7DAE"/>
    <w:rsid w:val="00B0078C"/>
    <w:rsid w:val="00B007C6"/>
    <w:rsid w:val="00B00EAB"/>
    <w:rsid w:val="00B0187A"/>
    <w:rsid w:val="00B01EF0"/>
    <w:rsid w:val="00B01F17"/>
    <w:rsid w:val="00B02052"/>
    <w:rsid w:val="00B0240F"/>
    <w:rsid w:val="00B0311D"/>
    <w:rsid w:val="00B032A1"/>
    <w:rsid w:val="00B032CB"/>
    <w:rsid w:val="00B03E2E"/>
    <w:rsid w:val="00B04165"/>
    <w:rsid w:val="00B04791"/>
    <w:rsid w:val="00B04A2A"/>
    <w:rsid w:val="00B04C5F"/>
    <w:rsid w:val="00B055A4"/>
    <w:rsid w:val="00B05A6B"/>
    <w:rsid w:val="00B0758F"/>
    <w:rsid w:val="00B07BCC"/>
    <w:rsid w:val="00B148EC"/>
    <w:rsid w:val="00B14B63"/>
    <w:rsid w:val="00B21F70"/>
    <w:rsid w:val="00B2463F"/>
    <w:rsid w:val="00B25A34"/>
    <w:rsid w:val="00B25F7E"/>
    <w:rsid w:val="00B268D0"/>
    <w:rsid w:val="00B273F9"/>
    <w:rsid w:val="00B27C26"/>
    <w:rsid w:val="00B30383"/>
    <w:rsid w:val="00B30513"/>
    <w:rsid w:val="00B30DC9"/>
    <w:rsid w:val="00B31DF4"/>
    <w:rsid w:val="00B33325"/>
    <w:rsid w:val="00B33BE4"/>
    <w:rsid w:val="00B34332"/>
    <w:rsid w:val="00B35246"/>
    <w:rsid w:val="00B3564B"/>
    <w:rsid w:val="00B36131"/>
    <w:rsid w:val="00B3653E"/>
    <w:rsid w:val="00B37773"/>
    <w:rsid w:val="00B41094"/>
    <w:rsid w:val="00B41B6A"/>
    <w:rsid w:val="00B42463"/>
    <w:rsid w:val="00B4348B"/>
    <w:rsid w:val="00B44F84"/>
    <w:rsid w:val="00B45571"/>
    <w:rsid w:val="00B45943"/>
    <w:rsid w:val="00B45F35"/>
    <w:rsid w:val="00B47287"/>
    <w:rsid w:val="00B5085C"/>
    <w:rsid w:val="00B50C1D"/>
    <w:rsid w:val="00B5128E"/>
    <w:rsid w:val="00B5197E"/>
    <w:rsid w:val="00B53BFE"/>
    <w:rsid w:val="00B54758"/>
    <w:rsid w:val="00B556A9"/>
    <w:rsid w:val="00B55C73"/>
    <w:rsid w:val="00B55DFF"/>
    <w:rsid w:val="00B5678B"/>
    <w:rsid w:val="00B5774A"/>
    <w:rsid w:val="00B602AE"/>
    <w:rsid w:val="00B6062F"/>
    <w:rsid w:val="00B61B4F"/>
    <w:rsid w:val="00B62322"/>
    <w:rsid w:val="00B623C3"/>
    <w:rsid w:val="00B62A48"/>
    <w:rsid w:val="00B6326C"/>
    <w:rsid w:val="00B63BB3"/>
    <w:rsid w:val="00B64DBE"/>
    <w:rsid w:val="00B66D03"/>
    <w:rsid w:val="00B66FC2"/>
    <w:rsid w:val="00B67979"/>
    <w:rsid w:val="00B67D87"/>
    <w:rsid w:val="00B70960"/>
    <w:rsid w:val="00B718A3"/>
    <w:rsid w:val="00B71DA2"/>
    <w:rsid w:val="00B71E6E"/>
    <w:rsid w:val="00B7255A"/>
    <w:rsid w:val="00B733CB"/>
    <w:rsid w:val="00B74659"/>
    <w:rsid w:val="00B75154"/>
    <w:rsid w:val="00B75550"/>
    <w:rsid w:val="00B76C41"/>
    <w:rsid w:val="00B7716C"/>
    <w:rsid w:val="00B771B8"/>
    <w:rsid w:val="00B77CB1"/>
    <w:rsid w:val="00B8090A"/>
    <w:rsid w:val="00B81394"/>
    <w:rsid w:val="00B83500"/>
    <w:rsid w:val="00B84DFE"/>
    <w:rsid w:val="00B86391"/>
    <w:rsid w:val="00B86DE6"/>
    <w:rsid w:val="00B87948"/>
    <w:rsid w:val="00B90097"/>
    <w:rsid w:val="00B9052A"/>
    <w:rsid w:val="00B916BB"/>
    <w:rsid w:val="00B91C6A"/>
    <w:rsid w:val="00B94B50"/>
    <w:rsid w:val="00B94DC3"/>
    <w:rsid w:val="00B9523A"/>
    <w:rsid w:val="00B95984"/>
    <w:rsid w:val="00B95C83"/>
    <w:rsid w:val="00B95E6C"/>
    <w:rsid w:val="00B9630F"/>
    <w:rsid w:val="00B96B08"/>
    <w:rsid w:val="00B9765B"/>
    <w:rsid w:val="00B9780A"/>
    <w:rsid w:val="00BA03C2"/>
    <w:rsid w:val="00BA067A"/>
    <w:rsid w:val="00BA14CB"/>
    <w:rsid w:val="00BA15B6"/>
    <w:rsid w:val="00BA17E8"/>
    <w:rsid w:val="00BA1806"/>
    <w:rsid w:val="00BA1A66"/>
    <w:rsid w:val="00BA1BDB"/>
    <w:rsid w:val="00BA200E"/>
    <w:rsid w:val="00BA2F6D"/>
    <w:rsid w:val="00BA39F4"/>
    <w:rsid w:val="00BA47A8"/>
    <w:rsid w:val="00BA4F77"/>
    <w:rsid w:val="00BA536A"/>
    <w:rsid w:val="00BA5942"/>
    <w:rsid w:val="00BA6729"/>
    <w:rsid w:val="00BA70AA"/>
    <w:rsid w:val="00BA77AB"/>
    <w:rsid w:val="00BB16AB"/>
    <w:rsid w:val="00BB1EE9"/>
    <w:rsid w:val="00BB2FB0"/>
    <w:rsid w:val="00BB3C4B"/>
    <w:rsid w:val="00BB3E9A"/>
    <w:rsid w:val="00BB3EFF"/>
    <w:rsid w:val="00BB43B8"/>
    <w:rsid w:val="00BB4411"/>
    <w:rsid w:val="00BB4BEB"/>
    <w:rsid w:val="00BB6C5F"/>
    <w:rsid w:val="00BB7FEB"/>
    <w:rsid w:val="00BC0482"/>
    <w:rsid w:val="00BC17F2"/>
    <w:rsid w:val="00BC1F5F"/>
    <w:rsid w:val="00BC35AD"/>
    <w:rsid w:val="00BC39CA"/>
    <w:rsid w:val="00BC474D"/>
    <w:rsid w:val="00BC59BE"/>
    <w:rsid w:val="00BC6577"/>
    <w:rsid w:val="00BC7247"/>
    <w:rsid w:val="00BD00B2"/>
    <w:rsid w:val="00BD06B1"/>
    <w:rsid w:val="00BD1DBA"/>
    <w:rsid w:val="00BD2250"/>
    <w:rsid w:val="00BD33CF"/>
    <w:rsid w:val="00BD43BD"/>
    <w:rsid w:val="00BD58C1"/>
    <w:rsid w:val="00BD59A8"/>
    <w:rsid w:val="00BD66BC"/>
    <w:rsid w:val="00BD6886"/>
    <w:rsid w:val="00BD71F8"/>
    <w:rsid w:val="00BD775D"/>
    <w:rsid w:val="00BD7E75"/>
    <w:rsid w:val="00BE01A0"/>
    <w:rsid w:val="00BE0C1A"/>
    <w:rsid w:val="00BE23AD"/>
    <w:rsid w:val="00BE2423"/>
    <w:rsid w:val="00BE2959"/>
    <w:rsid w:val="00BE5358"/>
    <w:rsid w:val="00BE5EEA"/>
    <w:rsid w:val="00BE698D"/>
    <w:rsid w:val="00BE7546"/>
    <w:rsid w:val="00BF1155"/>
    <w:rsid w:val="00BF20A1"/>
    <w:rsid w:val="00BF2852"/>
    <w:rsid w:val="00BF3324"/>
    <w:rsid w:val="00BF3A83"/>
    <w:rsid w:val="00BF3C13"/>
    <w:rsid w:val="00BF3D06"/>
    <w:rsid w:val="00BF5976"/>
    <w:rsid w:val="00BF6E46"/>
    <w:rsid w:val="00BF725E"/>
    <w:rsid w:val="00C011B0"/>
    <w:rsid w:val="00C03AFB"/>
    <w:rsid w:val="00C04B41"/>
    <w:rsid w:val="00C051DB"/>
    <w:rsid w:val="00C0664C"/>
    <w:rsid w:val="00C06A79"/>
    <w:rsid w:val="00C06E71"/>
    <w:rsid w:val="00C103ED"/>
    <w:rsid w:val="00C1094A"/>
    <w:rsid w:val="00C10DAE"/>
    <w:rsid w:val="00C10E44"/>
    <w:rsid w:val="00C11B56"/>
    <w:rsid w:val="00C11E69"/>
    <w:rsid w:val="00C12458"/>
    <w:rsid w:val="00C14676"/>
    <w:rsid w:val="00C14D27"/>
    <w:rsid w:val="00C1547C"/>
    <w:rsid w:val="00C17795"/>
    <w:rsid w:val="00C20245"/>
    <w:rsid w:val="00C207FC"/>
    <w:rsid w:val="00C24AEA"/>
    <w:rsid w:val="00C25335"/>
    <w:rsid w:val="00C25695"/>
    <w:rsid w:val="00C26690"/>
    <w:rsid w:val="00C27D21"/>
    <w:rsid w:val="00C3474D"/>
    <w:rsid w:val="00C354C9"/>
    <w:rsid w:val="00C36874"/>
    <w:rsid w:val="00C404C7"/>
    <w:rsid w:val="00C40B90"/>
    <w:rsid w:val="00C419ED"/>
    <w:rsid w:val="00C41EB3"/>
    <w:rsid w:val="00C420F5"/>
    <w:rsid w:val="00C4243D"/>
    <w:rsid w:val="00C42BC3"/>
    <w:rsid w:val="00C4301E"/>
    <w:rsid w:val="00C44C20"/>
    <w:rsid w:val="00C45F9D"/>
    <w:rsid w:val="00C475EF"/>
    <w:rsid w:val="00C478FD"/>
    <w:rsid w:val="00C50874"/>
    <w:rsid w:val="00C52895"/>
    <w:rsid w:val="00C53301"/>
    <w:rsid w:val="00C5426E"/>
    <w:rsid w:val="00C54BD4"/>
    <w:rsid w:val="00C555A4"/>
    <w:rsid w:val="00C60739"/>
    <w:rsid w:val="00C61C53"/>
    <w:rsid w:val="00C62E13"/>
    <w:rsid w:val="00C63827"/>
    <w:rsid w:val="00C65DCC"/>
    <w:rsid w:val="00C66DC1"/>
    <w:rsid w:val="00C6781D"/>
    <w:rsid w:val="00C67E89"/>
    <w:rsid w:val="00C70500"/>
    <w:rsid w:val="00C70F16"/>
    <w:rsid w:val="00C70FDB"/>
    <w:rsid w:val="00C711B8"/>
    <w:rsid w:val="00C729D4"/>
    <w:rsid w:val="00C73467"/>
    <w:rsid w:val="00C73594"/>
    <w:rsid w:val="00C7590A"/>
    <w:rsid w:val="00C7608D"/>
    <w:rsid w:val="00C76F52"/>
    <w:rsid w:val="00C7706E"/>
    <w:rsid w:val="00C77D1F"/>
    <w:rsid w:val="00C82D58"/>
    <w:rsid w:val="00C834CE"/>
    <w:rsid w:val="00C842E8"/>
    <w:rsid w:val="00C84956"/>
    <w:rsid w:val="00C84B6B"/>
    <w:rsid w:val="00C8588A"/>
    <w:rsid w:val="00C85B7B"/>
    <w:rsid w:val="00C87526"/>
    <w:rsid w:val="00C876BC"/>
    <w:rsid w:val="00C877B3"/>
    <w:rsid w:val="00C911E8"/>
    <w:rsid w:val="00C91F13"/>
    <w:rsid w:val="00C9280C"/>
    <w:rsid w:val="00C93E09"/>
    <w:rsid w:val="00C94278"/>
    <w:rsid w:val="00C95C6B"/>
    <w:rsid w:val="00C95E2A"/>
    <w:rsid w:val="00C971A5"/>
    <w:rsid w:val="00CA071D"/>
    <w:rsid w:val="00CA1280"/>
    <w:rsid w:val="00CA13B4"/>
    <w:rsid w:val="00CA1575"/>
    <w:rsid w:val="00CA16BC"/>
    <w:rsid w:val="00CA2A34"/>
    <w:rsid w:val="00CA2E55"/>
    <w:rsid w:val="00CA33D8"/>
    <w:rsid w:val="00CA3665"/>
    <w:rsid w:val="00CA4F1A"/>
    <w:rsid w:val="00CA60EF"/>
    <w:rsid w:val="00CA6A9E"/>
    <w:rsid w:val="00CA6DF5"/>
    <w:rsid w:val="00CA7943"/>
    <w:rsid w:val="00CB2C28"/>
    <w:rsid w:val="00CB3559"/>
    <w:rsid w:val="00CB4349"/>
    <w:rsid w:val="00CB468A"/>
    <w:rsid w:val="00CB48A5"/>
    <w:rsid w:val="00CB4ADF"/>
    <w:rsid w:val="00CB5318"/>
    <w:rsid w:val="00CB7C40"/>
    <w:rsid w:val="00CC0828"/>
    <w:rsid w:val="00CC1F91"/>
    <w:rsid w:val="00CC2F9D"/>
    <w:rsid w:val="00CC4700"/>
    <w:rsid w:val="00CC557A"/>
    <w:rsid w:val="00CC6799"/>
    <w:rsid w:val="00CD0286"/>
    <w:rsid w:val="00CD0487"/>
    <w:rsid w:val="00CD11DC"/>
    <w:rsid w:val="00CD16D1"/>
    <w:rsid w:val="00CD2620"/>
    <w:rsid w:val="00CD267D"/>
    <w:rsid w:val="00CD3EC0"/>
    <w:rsid w:val="00CD3F81"/>
    <w:rsid w:val="00CD4663"/>
    <w:rsid w:val="00CD5914"/>
    <w:rsid w:val="00CD705B"/>
    <w:rsid w:val="00CD76B2"/>
    <w:rsid w:val="00CD7839"/>
    <w:rsid w:val="00CE116D"/>
    <w:rsid w:val="00CE1215"/>
    <w:rsid w:val="00CE1240"/>
    <w:rsid w:val="00CE13CB"/>
    <w:rsid w:val="00CE236A"/>
    <w:rsid w:val="00CE61E6"/>
    <w:rsid w:val="00CE6FF3"/>
    <w:rsid w:val="00CE740F"/>
    <w:rsid w:val="00CE77C6"/>
    <w:rsid w:val="00CE7F42"/>
    <w:rsid w:val="00CF0077"/>
    <w:rsid w:val="00CF1F53"/>
    <w:rsid w:val="00CF3597"/>
    <w:rsid w:val="00CF59B8"/>
    <w:rsid w:val="00CF78C6"/>
    <w:rsid w:val="00D00342"/>
    <w:rsid w:val="00D00BA6"/>
    <w:rsid w:val="00D017CD"/>
    <w:rsid w:val="00D01C32"/>
    <w:rsid w:val="00D01ECE"/>
    <w:rsid w:val="00D02043"/>
    <w:rsid w:val="00D04043"/>
    <w:rsid w:val="00D05901"/>
    <w:rsid w:val="00D05A1D"/>
    <w:rsid w:val="00D05EC0"/>
    <w:rsid w:val="00D06ADE"/>
    <w:rsid w:val="00D06FB8"/>
    <w:rsid w:val="00D07056"/>
    <w:rsid w:val="00D108F7"/>
    <w:rsid w:val="00D10B6C"/>
    <w:rsid w:val="00D1136B"/>
    <w:rsid w:val="00D12501"/>
    <w:rsid w:val="00D13232"/>
    <w:rsid w:val="00D13818"/>
    <w:rsid w:val="00D14955"/>
    <w:rsid w:val="00D165E3"/>
    <w:rsid w:val="00D16BCE"/>
    <w:rsid w:val="00D16EEC"/>
    <w:rsid w:val="00D17F73"/>
    <w:rsid w:val="00D2115B"/>
    <w:rsid w:val="00D218CC"/>
    <w:rsid w:val="00D21C21"/>
    <w:rsid w:val="00D23DE5"/>
    <w:rsid w:val="00D24228"/>
    <w:rsid w:val="00D24D16"/>
    <w:rsid w:val="00D24E57"/>
    <w:rsid w:val="00D25628"/>
    <w:rsid w:val="00D26153"/>
    <w:rsid w:val="00D272F4"/>
    <w:rsid w:val="00D27622"/>
    <w:rsid w:val="00D30ABB"/>
    <w:rsid w:val="00D3189F"/>
    <w:rsid w:val="00D32626"/>
    <w:rsid w:val="00D33292"/>
    <w:rsid w:val="00D33617"/>
    <w:rsid w:val="00D3369A"/>
    <w:rsid w:val="00D33C16"/>
    <w:rsid w:val="00D33C47"/>
    <w:rsid w:val="00D34022"/>
    <w:rsid w:val="00D34067"/>
    <w:rsid w:val="00D34C83"/>
    <w:rsid w:val="00D34D51"/>
    <w:rsid w:val="00D3545D"/>
    <w:rsid w:val="00D35553"/>
    <w:rsid w:val="00D36117"/>
    <w:rsid w:val="00D36EB3"/>
    <w:rsid w:val="00D4142F"/>
    <w:rsid w:val="00D42EEF"/>
    <w:rsid w:val="00D4509F"/>
    <w:rsid w:val="00D46E36"/>
    <w:rsid w:val="00D4788B"/>
    <w:rsid w:val="00D5050A"/>
    <w:rsid w:val="00D52E48"/>
    <w:rsid w:val="00D5326C"/>
    <w:rsid w:val="00D544FC"/>
    <w:rsid w:val="00D54833"/>
    <w:rsid w:val="00D54B86"/>
    <w:rsid w:val="00D56988"/>
    <w:rsid w:val="00D56A89"/>
    <w:rsid w:val="00D56D25"/>
    <w:rsid w:val="00D57190"/>
    <w:rsid w:val="00D576E2"/>
    <w:rsid w:val="00D629B3"/>
    <w:rsid w:val="00D649FA"/>
    <w:rsid w:val="00D64F00"/>
    <w:rsid w:val="00D6757B"/>
    <w:rsid w:val="00D67EDA"/>
    <w:rsid w:val="00D703E0"/>
    <w:rsid w:val="00D70476"/>
    <w:rsid w:val="00D70E06"/>
    <w:rsid w:val="00D71297"/>
    <w:rsid w:val="00D73061"/>
    <w:rsid w:val="00D74216"/>
    <w:rsid w:val="00D74221"/>
    <w:rsid w:val="00D745BA"/>
    <w:rsid w:val="00D75218"/>
    <w:rsid w:val="00D75D17"/>
    <w:rsid w:val="00D7649A"/>
    <w:rsid w:val="00D76899"/>
    <w:rsid w:val="00D76C85"/>
    <w:rsid w:val="00D8054D"/>
    <w:rsid w:val="00D80A94"/>
    <w:rsid w:val="00D80F6B"/>
    <w:rsid w:val="00D80FDB"/>
    <w:rsid w:val="00D840E2"/>
    <w:rsid w:val="00D86E63"/>
    <w:rsid w:val="00D86FDB"/>
    <w:rsid w:val="00D87058"/>
    <w:rsid w:val="00D87194"/>
    <w:rsid w:val="00D923A3"/>
    <w:rsid w:val="00D9470F"/>
    <w:rsid w:val="00D95671"/>
    <w:rsid w:val="00DA07E7"/>
    <w:rsid w:val="00DA1B88"/>
    <w:rsid w:val="00DA2419"/>
    <w:rsid w:val="00DA3008"/>
    <w:rsid w:val="00DA4427"/>
    <w:rsid w:val="00DA5AD7"/>
    <w:rsid w:val="00DA64D9"/>
    <w:rsid w:val="00DA67E6"/>
    <w:rsid w:val="00DA6ADD"/>
    <w:rsid w:val="00DA72D3"/>
    <w:rsid w:val="00DA7464"/>
    <w:rsid w:val="00DB2089"/>
    <w:rsid w:val="00DB3C51"/>
    <w:rsid w:val="00DB4346"/>
    <w:rsid w:val="00DB5BC9"/>
    <w:rsid w:val="00DB6EA9"/>
    <w:rsid w:val="00DC0074"/>
    <w:rsid w:val="00DC01FE"/>
    <w:rsid w:val="00DC041D"/>
    <w:rsid w:val="00DC293F"/>
    <w:rsid w:val="00DC36C9"/>
    <w:rsid w:val="00DC3937"/>
    <w:rsid w:val="00DC440A"/>
    <w:rsid w:val="00DC5D4D"/>
    <w:rsid w:val="00DC7587"/>
    <w:rsid w:val="00DC7CFD"/>
    <w:rsid w:val="00DD15A7"/>
    <w:rsid w:val="00DD1837"/>
    <w:rsid w:val="00DD3451"/>
    <w:rsid w:val="00DD354D"/>
    <w:rsid w:val="00DD36D4"/>
    <w:rsid w:val="00DD3E02"/>
    <w:rsid w:val="00DD470C"/>
    <w:rsid w:val="00DD4CFE"/>
    <w:rsid w:val="00DD64A2"/>
    <w:rsid w:val="00DD73FA"/>
    <w:rsid w:val="00DE0319"/>
    <w:rsid w:val="00DE09A5"/>
    <w:rsid w:val="00DE1A9C"/>
    <w:rsid w:val="00DE1C06"/>
    <w:rsid w:val="00DE1FDC"/>
    <w:rsid w:val="00DE3339"/>
    <w:rsid w:val="00DE3829"/>
    <w:rsid w:val="00DE3B68"/>
    <w:rsid w:val="00DE45F0"/>
    <w:rsid w:val="00DE66FB"/>
    <w:rsid w:val="00DF0883"/>
    <w:rsid w:val="00DF0E78"/>
    <w:rsid w:val="00DF1D1E"/>
    <w:rsid w:val="00DF2646"/>
    <w:rsid w:val="00DF3AA1"/>
    <w:rsid w:val="00DF3BBE"/>
    <w:rsid w:val="00DF3C1F"/>
    <w:rsid w:val="00DF3C52"/>
    <w:rsid w:val="00DF3D19"/>
    <w:rsid w:val="00DF52F7"/>
    <w:rsid w:val="00DF5881"/>
    <w:rsid w:val="00DF5CD5"/>
    <w:rsid w:val="00E0019E"/>
    <w:rsid w:val="00E015C5"/>
    <w:rsid w:val="00E02A23"/>
    <w:rsid w:val="00E02AD7"/>
    <w:rsid w:val="00E02F7D"/>
    <w:rsid w:val="00E0413B"/>
    <w:rsid w:val="00E047F5"/>
    <w:rsid w:val="00E05B5A"/>
    <w:rsid w:val="00E05BFD"/>
    <w:rsid w:val="00E06111"/>
    <w:rsid w:val="00E06A0B"/>
    <w:rsid w:val="00E07223"/>
    <w:rsid w:val="00E07F88"/>
    <w:rsid w:val="00E1284C"/>
    <w:rsid w:val="00E12D92"/>
    <w:rsid w:val="00E13299"/>
    <w:rsid w:val="00E149BD"/>
    <w:rsid w:val="00E15BB3"/>
    <w:rsid w:val="00E15CA0"/>
    <w:rsid w:val="00E15D67"/>
    <w:rsid w:val="00E177AC"/>
    <w:rsid w:val="00E2187B"/>
    <w:rsid w:val="00E21E38"/>
    <w:rsid w:val="00E22D08"/>
    <w:rsid w:val="00E26373"/>
    <w:rsid w:val="00E27DF4"/>
    <w:rsid w:val="00E27EFA"/>
    <w:rsid w:val="00E30025"/>
    <w:rsid w:val="00E30485"/>
    <w:rsid w:val="00E30FFE"/>
    <w:rsid w:val="00E31398"/>
    <w:rsid w:val="00E3291D"/>
    <w:rsid w:val="00E329A4"/>
    <w:rsid w:val="00E33E3D"/>
    <w:rsid w:val="00E347C2"/>
    <w:rsid w:val="00E355AC"/>
    <w:rsid w:val="00E41E1C"/>
    <w:rsid w:val="00E423B8"/>
    <w:rsid w:val="00E46A8B"/>
    <w:rsid w:val="00E47426"/>
    <w:rsid w:val="00E47FA9"/>
    <w:rsid w:val="00E519BF"/>
    <w:rsid w:val="00E52913"/>
    <w:rsid w:val="00E52B69"/>
    <w:rsid w:val="00E540D0"/>
    <w:rsid w:val="00E547EA"/>
    <w:rsid w:val="00E55179"/>
    <w:rsid w:val="00E55937"/>
    <w:rsid w:val="00E55DF6"/>
    <w:rsid w:val="00E56CB1"/>
    <w:rsid w:val="00E60180"/>
    <w:rsid w:val="00E60FCF"/>
    <w:rsid w:val="00E6133C"/>
    <w:rsid w:val="00E61380"/>
    <w:rsid w:val="00E6155A"/>
    <w:rsid w:val="00E61773"/>
    <w:rsid w:val="00E62442"/>
    <w:rsid w:val="00E624A5"/>
    <w:rsid w:val="00E62540"/>
    <w:rsid w:val="00E625FC"/>
    <w:rsid w:val="00E63572"/>
    <w:rsid w:val="00E63C2D"/>
    <w:rsid w:val="00E65979"/>
    <w:rsid w:val="00E66081"/>
    <w:rsid w:val="00E66F88"/>
    <w:rsid w:val="00E67A73"/>
    <w:rsid w:val="00E709B3"/>
    <w:rsid w:val="00E70EF6"/>
    <w:rsid w:val="00E716E4"/>
    <w:rsid w:val="00E72AAA"/>
    <w:rsid w:val="00E74B78"/>
    <w:rsid w:val="00E74CF4"/>
    <w:rsid w:val="00E7557C"/>
    <w:rsid w:val="00E7665A"/>
    <w:rsid w:val="00E77FAD"/>
    <w:rsid w:val="00E80712"/>
    <w:rsid w:val="00E8283F"/>
    <w:rsid w:val="00E84B83"/>
    <w:rsid w:val="00E850C0"/>
    <w:rsid w:val="00E85B23"/>
    <w:rsid w:val="00E85C42"/>
    <w:rsid w:val="00E86B56"/>
    <w:rsid w:val="00E904B9"/>
    <w:rsid w:val="00E90704"/>
    <w:rsid w:val="00E90C1D"/>
    <w:rsid w:val="00E91B1A"/>
    <w:rsid w:val="00E929C6"/>
    <w:rsid w:val="00E92A1E"/>
    <w:rsid w:val="00E94C2C"/>
    <w:rsid w:val="00E94CC1"/>
    <w:rsid w:val="00E950CC"/>
    <w:rsid w:val="00E9511E"/>
    <w:rsid w:val="00E95258"/>
    <w:rsid w:val="00E95EEB"/>
    <w:rsid w:val="00E96B44"/>
    <w:rsid w:val="00E9710A"/>
    <w:rsid w:val="00EA0BC1"/>
    <w:rsid w:val="00EA1434"/>
    <w:rsid w:val="00EA17B9"/>
    <w:rsid w:val="00EA29E0"/>
    <w:rsid w:val="00EA2A9F"/>
    <w:rsid w:val="00EA33C5"/>
    <w:rsid w:val="00EA3E2F"/>
    <w:rsid w:val="00EA6377"/>
    <w:rsid w:val="00EA6409"/>
    <w:rsid w:val="00EA67A3"/>
    <w:rsid w:val="00EA7544"/>
    <w:rsid w:val="00EB2961"/>
    <w:rsid w:val="00EB72B4"/>
    <w:rsid w:val="00EC6E12"/>
    <w:rsid w:val="00EC735A"/>
    <w:rsid w:val="00EC7404"/>
    <w:rsid w:val="00EC752B"/>
    <w:rsid w:val="00EC7D3F"/>
    <w:rsid w:val="00ED152B"/>
    <w:rsid w:val="00ED1D1A"/>
    <w:rsid w:val="00ED22AF"/>
    <w:rsid w:val="00ED2EBA"/>
    <w:rsid w:val="00ED3930"/>
    <w:rsid w:val="00ED4667"/>
    <w:rsid w:val="00ED54FE"/>
    <w:rsid w:val="00ED59DB"/>
    <w:rsid w:val="00ED6289"/>
    <w:rsid w:val="00ED648C"/>
    <w:rsid w:val="00ED664F"/>
    <w:rsid w:val="00ED6C1D"/>
    <w:rsid w:val="00ED710C"/>
    <w:rsid w:val="00EE0BF4"/>
    <w:rsid w:val="00EE0D2A"/>
    <w:rsid w:val="00EE1139"/>
    <w:rsid w:val="00EE1415"/>
    <w:rsid w:val="00EE182B"/>
    <w:rsid w:val="00EE1E15"/>
    <w:rsid w:val="00EE25C0"/>
    <w:rsid w:val="00EE2A78"/>
    <w:rsid w:val="00EE2EA3"/>
    <w:rsid w:val="00EE39D5"/>
    <w:rsid w:val="00EE3B17"/>
    <w:rsid w:val="00EE3B7B"/>
    <w:rsid w:val="00EE440C"/>
    <w:rsid w:val="00EE5426"/>
    <w:rsid w:val="00EE593F"/>
    <w:rsid w:val="00EE67DA"/>
    <w:rsid w:val="00EE6DD9"/>
    <w:rsid w:val="00EE7F9B"/>
    <w:rsid w:val="00EF00CE"/>
    <w:rsid w:val="00EF153E"/>
    <w:rsid w:val="00EF1F3A"/>
    <w:rsid w:val="00EF2FB8"/>
    <w:rsid w:val="00EF33D6"/>
    <w:rsid w:val="00EF3EDA"/>
    <w:rsid w:val="00EF40E6"/>
    <w:rsid w:val="00EF437F"/>
    <w:rsid w:val="00EF5721"/>
    <w:rsid w:val="00EF63CF"/>
    <w:rsid w:val="00EF69FD"/>
    <w:rsid w:val="00EF6DE6"/>
    <w:rsid w:val="00EF6F63"/>
    <w:rsid w:val="00EF7F7F"/>
    <w:rsid w:val="00EF7FE3"/>
    <w:rsid w:val="00F011A5"/>
    <w:rsid w:val="00F011C6"/>
    <w:rsid w:val="00F020EE"/>
    <w:rsid w:val="00F023F4"/>
    <w:rsid w:val="00F02546"/>
    <w:rsid w:val="00F03D4D"/>
    <w:rsid w:val="00F040EA"/>
    <w:rsid w:val="00F059B8"/>
    <w:rsid w:val="00F05C8F"/>
    <w:rsid w:val="00F05CE2"/>
    <w:rsid w:val="00F06764"/>
    <w:rsid w:val="00F06938"/>
    <w:rsid w:val="00F06F53"/>
    <w:rsid w:val="00F07141"/>
    <w:rsid w:val="00F109B3"/>
    <w:rsid w:val="00F12E4F"/>
    <w:rsid w:val="00F1358F"/>
    <w:rsid w:val="00F13F2B"/>
    <w:rsid w:val="00F14379"/>
    <w:rsid w:val="00F148C7"/>
    <w:rsid w:val="00F15414"/>
    <w:rsid w:val="00F15C10"/>
    <w:rsid w:val="00F15EF8"/>
    <w:rsid w:val="00F15F27"/>
    <w:rsid w:val="00F1664F"/>
    <w:rsid w:val="00F16975"/>
    <w:rsid w:val="00F200B5"/>
    <w:rsid w:val="00F208A5"/>
    <w:rsid w:val="00F20AD4"/>
    <w:rsid w:val="00F234DA"/>
    <w:rsid w:val="00F23607"/>
    <w:rsid w:val="00F24B38"/>
    <w:rsid w:val="00F24E87"/>
    <w:rsid w:val="00F25507"/>
    <w:rsid w:val="00F2685F"/>
    <w:rsid w:val="00F30515"/>
    <w:rsid w:val="00F32586"/>
    <w:rsid w:val="00F32890"/>
    <w:rsid w:val="00F329B5"/>
    <w:rsid w:val="00F32D9F"/>
    <w:rsid w:val="00F337A1"/>
    <w:rsid w:val="00F33F22"/>
    <w:rsid w:val="00F34A42"/>
    <w:rsid w:val="00F3577B"/>
    <w:rsid w:val="00F35AF0"/>
    <w:rsid w:val="00F360AA"/>
    <w:rsid w:val="00F36353"/>
    <w:rsid w:val="00F3706D"/>
    <w:rsid w:val="00F37B07"/>
    <w:rsid w:val="00F37DC1"/>
    <w:rsid w:val="00F4048A"/>
    <w:rsid w:val="00F412CD"/>
    <w:rsid w:val="00F4213C"/>
    <w:rsid w:val="00F42571"/>
    <w:rsid w:val="00F43815"/>
    <w:rsid w:val="00F43A14"/>
    <w:rsid w:val="00F443AF"/>
    <w:rsid w:val="00F44B7D"/>
    <w:rsid w:val="00F4544D"/>
    <w:rsid w:val="00F45F9E"/>
    <w:rsid w:val="00F472DC"/>
    <w:rsid w:val="00F472E1"/>
    <w:rsid w:val="00F50836"/>
    <w:rsid w:val="00F51350"/>
    <w:rsid w:val="00F5376E"/>
    <w:rsid w:val="00F539D9"/>
    <w:rsid w:val="00F53D36"/>
    <w:rsid w:val="00F54797"/>
    <w:rsid w:val="00F547D9"/>
    <w:rsid w:val="00F569D2"/>
    <w:rsid w:val="00F56BBD"/>
    <w:rsid w:val="00F56FCB"/>
    <w:rsid w:val="00F5757C"/>
    <w:rsid w:val="00F57D18"/>
    <w:rsid w:val="00F62F2D"/>
    <w:rsid w:val="00F65A0B"/>
    <w:rsid w:val="00F65E94"/>
    <w:rsid w:val="00F663EB"/>
    <w:rsid w:val="00F700F9"/>
    <w:rsid w:val="00F708BE"/>
    <w:rsid w:val="00F70BBF"/>
    <w:rsid w:val="00F71134"/>
    <w:rsid w:val="00F72362"/>
    <w:rsid w:val="00F72D46"/>
    <w:rsid w:val="00F733EE"/>
    <w:rsid w:val="00F73D76"/>
    <w:rsid w:val="00F74565"/>
    <w:rsid w:val="00F74C7D"/>
    <w:rsid w:val="00F74F51"/>
    <w:rsid w:val="00F751D9"/>
    <w:rsid w:val="00F75DD0"/>
    <w:rsid w:val="00F7670C"/>
    <w:rsid w:val="00F76F3E"/>
    <w:rsid w:val="00F77A4F"/>
    <w:rsid w:val="00F81849"/>
    <w:rsid w:val="00F82B27"/>
    <w:rsid w:val="00F84951"/>
    <w:rsid w:val="00F853B5"/>
    <w:rsid w:val="00F861C9"/>
    <w:rsid w:val="00F8635A"/>
    <w:rsid w:val="00F8648C"/>
    <w:rsid w:val="00F86CE4"/>
    <w:rsid w:val="00F87C2E"/>
    <w:rsid w:val="00F87E6A"/>
    <w:rsid w:val="00F90E7A"/>
    <w:rsid w:val="00F93D4D"/>
    <w:rsid w:val="00F96E48"/>
    <w:rsid w:val="00F97239"/>
    <w:rsid w:val="00F97467"/>
    <w:rsid w:val="00FA0BA3"/>
    <w:rsid w:val="00FA0E7E"/>
    <w:rsid w:val="00FA1AF1"/>
    <w:rsid w:val="00FA2867"/>
    <w:rsid w:val="00FA363E"/>
    <w:rsid w:val="00FA3D7B"/>
    <w:rsid w:val="00FA456E"/>
    <w:rsid w:val="00FA54BD"/>
    <w:rsid w:val="00FA579C"/>
    <w:rsid w:val="00FA5EAF"/>
    <w:rsid w:val="00FA5EEA"/>
    <w:rsid w:val="00FA70BE"/>
    <w:rsid w:val="00FA72FF"/>
    <w:rsid w:val="00FB1567"/>
    <w:rsid w:val="00FB18D4"/>
    <w:rsid w:val="00FB2BCC"/>
    <w:rsid w:val="00FB362B"/>
    <w:rsid w:val="00FB4C45"/>
    <w:rsid w:val="00FB60FE"/>
    <w:rsid w:val="00FC0B6B"/>
    <w:rsid w:val="00FC11AE"/>
    <w:rsid w:val="00FC1352"/>
    <w:rsid w:val="00FC2247"/>
    <w:rsid w:val="00FC2B81"/>
    <w:rsid w:val="00FC3900"/>
    <w:rsid w:val="00FC509C"/>
    <w:rsid w:val="00FD0A35"/>
    <w:rsid w:val="00FD128A"/>
    <w:rsid w:val="00FD1390"/>
    <w:rsid w:val="00FD233B"/>
    <w:rsid w:val="00FD238C"/>
    <w:rsid w:val="00FD29C3"/>
    <w:rsid w:val="00FD2E86"/>
    <w:rsid w:val="00FD33CC"/>
    <w:rsid w:val="00FD4A65"/>
    <w:rsid w:val="00FD582C"/>
    <w:rsid w:val="00FD6D23"/>
    <w:rsid w:val="00FD6EF0"/>
    <w:rsid w:val="00FD77BD"/>
    <w:rsid w:val="00FE0661"/>
    <w:rsid w:val="00FE1121"/>
    <w:rsid w:val="00FE1672"/>
    <w:rsid w:val="00FE1AFC"/>
    <w:rsid w:val="00FE2DA7"/>
    <w:rsid w:val="00FE52D7"/>
    <w:rsid w:val="00FE534E"/>
    <w:rsid w:val="00FE5F76"/>
    <w:rsid w:val="00FE61FE"/>
    <w:rsid w:val="00FE6BC6"/>
    <w:rsid w:val="00FE6ED6"/>
    <w:rsid w:val="00FF0C72"/>
    <w:rsid w:val="00FF0D5F"/>
    <w:rsid w:val="00FF1BAE"/>
    <w:rsid w:val="00FF3D1D"/>
    <w:rsid w:val="00FF3EDD"/>
    <w:rsid w:val="00FF4E97"/>
    <w:rsid w:val="00FF6A71"/>
    <w:rsid w:val="00FF6C84"/>
    <w:rsid w:val="00FF6E26"/>
    <w:rsid w:val="00FF7081"/>
    <w:rsid w:val="024EDD37"/>
    <w:rsid w:val="035E56BC"/>
    <w:rsid w:val="03861D94"/>
    <w:rsid w:val="05DC91DF"/>
    <w:rsid w:val="0794BCD3"/>
    <w:rsid w:val="08027592"/>
    <w:rsid w:val="0818D06D"/>
    <w:rsid w:val="09229A26"/>
    <w:rsid w:val="0A644348"/>
    <w:rsid w:val="0C19FE0B"/>
    <w:rsid w:val="0E97F4E3"/>
    <w:rsid w:val="0F18F58C"/>
    <w:rsid w:val="0F614E24"/>
    <w:rsid w:val="0F8E695E"/>
    <w:rsid w:val="0FAA0F44"/>
    <w:rsid w:val="11DA1981"/>
    <w:rsid w:val="11EA5AE7"/>
    <w:rsid w:val="12B91321"/>
    <w:rsid w:val="131EFBB5"/>
    <w:rsid w:val="148113FF"/>
    <w:rsid w:val="15AC6456"/>
    <w:rsid w:val="16007C14"/>
    <w:rsid w:val="16AC7F2D"/>
    <w:rsid w:val="16DC0055"/>
    <w:rsid w:val="18AB65D7"/>
    <w:rsid w:val="1A1D2037"/>
    <w:rsid w:val="1A21B362"/>
    <w:rsid w:val="1A5C7E24"/>
    <w:rsid w:val="1B0F8C7F"/>
    <w:rsid w:val="1BC78F51"/>
    <w:rsid w:val="1DB4EC26"/>
    <w:rsid w:val="1DE29FA0"/>
    <w:rsid w:val="1F2A26B1"/>
    <w:rsid w:val="22F93133"/>
    <w:rsid w:val="254E10C9"/>
    <w:rsid w:val="263D0B0D"/>
    <w:rsid w:val="277CA7B8"/>
    <w:rsid w:val="2792CDA4"/>
    <w:rsid w:val="2793E3FB"/>
    <w:rsid w:val="28BEDEDD"/>
    <w:rsid w:val="2B524331"/>
    <w:rsid w:val="2EAB8B65"/>
    <w:rsid w:val="2F3BD5D2"/>
    <w:rsid w:val="2F7A2059"/>
    <w:rsid w:val="30658BCC"/>
    <w:rsid w:val="30C0DB47"/>
    <w:rsid w:val="31F58B8D"/>
    <w:rsid w:val="3348D232"/>
    <w:rsid w:val="33863A7E"/>
    <w:rsid w:val="35EB4547"/>
    <w:rsid w:val="375ACCBC"/>
    <w:rsid w:val="37AF385C"/>
    <w:rsid w:val="390FD4BA"/>
    <w:rsid w:val="39C69F76"/>
    <w:rsid w:val="3A2B20A3"/>
    <w:rsid w:val="3A5CF30A"/>
    <w:rsid w:val="3AB6AAF3"/>
    <w:rsid w:val="3C7AFA7E"/>
    <w:rsid w:val="3DCDA710"/>
    <w:rsid w:val="3DEB43E2"/>
    <w:rsid w:val="40C97D51"/>
    <w:rsid w:val="41303EAF"/>
    <w:rsid w:val="4229DCF3"/>
    <w:rsid w:val="422DEB95"/>
    <w:rsid w:val="439DD286"/>
    <w:rsid w:val="448A7937"/>
    <w:rsid w:val="44E64A45"/>
    <w:rsid w:val="45FD1B87"/>
    <w:rsid w:val="4794EB26"/>
    <w:rsid w:val="48D9869F"/>
    <w:rsid w:val="48E9EA1B"/>
    <w:rsid w:val="49549E80"/>
    <w:rsid w:val="49DB39B9"/>
    <w:rsid w:val="4B280B01"/>
    <w:rsid w:val="4B5BC3B3"/>
    <w:rsid w:val="4D1B9677"/>
    <w:rsid w:val="4E4E39EE"/>
    <w:rsid w:val="4E9F0B8A"/>
    <w:rsid w:val="4F9A7529"/>
    <w:rsid w:val="5054332B"/>
    <w:rsid w:val="51C7D03F"/>
    <w:rsid w:val="55E8E2D6"/>
    <w:rsid w:val="578D862A"/>
    <w:rsid w:val="57DEE610"/>
    <w:rsid w:val="5807C368"/>
    <w:rsid w:val="5AA04FFB"/>
    <w:rsid w:val="5D66E205"/>
    <w:rsid w:val="5DBF496A"/>
    <w:rsid w:val="5E3C8AA2"/>
    <w:rsid w:val="60083734"/>
    <w:rsid w:val="602F2BD7"/>
    <w:rsid w:val="607CCEFF"/>
    <w:rsid w:val="607D22D5"/>
    <w:rsid w:val="60B14CDB"/>
    <w:rsid w:val="6285C5AE"/>
    <w:rsid w:val="63E38409"/>
    <w:rsid w:val="6681466F"/>
    <w:rsid w:val="66BCBD6A"/>
    <w:rsid w:val="67580D29"/>
    <w:rsid w:val="67E3E6DC"/>
    <w:rsid w:val="68520428"/>
    <w:rsid w:val="68D622ED"/>
    <w:rsid w:val="69D3ADEC"/>
    <w:rsid w:val="6A050650"/>
    <w:rsid w:val="6C311B65"/>
    <w:rsid w:val="6CB98701"/>
    <w:rsid w:val="7081A8D9"/>
    <w:rsid w:val="70B698B5"/>
    <w:rsid w:val="74AEA529"/>
    <w:rsid w:val="753308F3"/>
    <w:rsid w:val="754BD169"/>
    <w:rsid w:val="7783EF76"/>
    <w:rsid w:val="77CD5E1E"/>
    <w:rsid w:val="77D1BBF2"/>
    <w:rsid w:val="7822647E"/>
    <w:rsid w:val="793EA478"/>
    <w:rsid w:val="7C520BD4"/>
    <w:rsid w:val="7E602209"/>
    <w:rsid w:val="7ED982C3"/>
    <w:rsid w:val="7FB6E5B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4BF7E56"/>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A6C6E"/>
    <w:pPr>
      <w:spacing w:line="360" w:lineRule="auto"/>
      <w:jc w:val="both"/>
    </w:pPr>
  </w:style>
  <w:style w:type="paragraph" w:styleId="Heading1">
    <w:name w:val="heading 1"/>
    <w:basedOn w:val="Normal"/>
    <w:next w:val="Normal"/>
    <w:link w:val="Heading1Char"/>
    <w:uiPriority w:val="9"/>
    <w:qFormat/>
    <w:rsid w:val="00D76C8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D76C8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D76C85"/>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rsid w:val="006C1073"/>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D76C85"/>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D76C85"/>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D76C85"/>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D76C85"/>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D76C85"/>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76C85"/>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D76C85"/>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D76C85"/>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sid w:val="006C1073"/>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D76C85"/>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D76C85"/>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D76C85"/>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D76C85"/>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D76C85"/>
    <w:rPr>
      <w:rFonts w:eastAsiaTheme="majorEastAsia" w:cstheme="majorBidi"/>
      <w:color w:val="272727" w:themeColor="text1" w:themeTint="D8"/>
    </w:rPr>
  </w:style>
  <w:style w:type="paragraph" w:styleId="Title">
    <w:name w:val="Title"/>
    <w:basedOn w:val="Normal"/>
    <w:next w:val="Normal"/>
    <w:link w:val="TitleChar"/>
    <w:uiPriority w:val="10"/>
    <w:qFormat/>
    <w:rsid w:val="00D76C8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76C85"/>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76C85"/>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D76C85"/>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D76C85"/>
    <w:pPr>
      <w:spacing w:before="160"/>
      <w:jc w:val="center"/>
    </w:pPr>
    <w:rPr>
      <w:i/>
      <w:iCs/>
      <w:color w:val="404040" w:themeColor="text1" w:themeTint="BF"/>
    </w:rPr>
  </w:style>
  <w:style w:type="character" w:customStyle="1" w:styleId="QuoteChar">
    <w:name w:val="Quote Char"/>
    <w:basedOn w:val="DefaultParagraphFont"/>
    <w:link w:val="Quote"/>
    <w:uiPriority w:val="29"/>
    <w:rsid w:val="00D76C85"/>
    <w:rPr>
      <w:i/>
      <w:iCs/>
      <w:color w:val="404040" w:themeColor="text1" w:themeTint="BF"/>
    </w:rPr>
  </w:style>
  <w:style w:type="paragraph" w:styleId="ListParagraph">
    <w:name w:val="List Paragraph"/>
    <w:basedOn w:val="Normal"/>
    <w:link w:val="ListParagraphChar"/>
    <w:uiPriority w:val="34"/>
    <w:qFormat/>
    <w:rsid w:val="00D76C85"/>
    <w:pPr>
      <w:ind w:left="720"/>
      <w:contextualSpacing/>
    </w:pPr>
  </w:style>
  <w:style w:type="character" w:styleId="IntenseEmphasis">
    <w:name w:val="Intense Emphasis"/>
    <w:basedOn w:val="DefaultParagraphFont"/>
    <w:uiPriority w:val="21"/>
    <w:qFormat/>
    <w:rsid w:val="00D76C85"/>
    <w:rPr>
      <w:i/>
      <w:iCs/>
      <w:color w:val="0F4761" w:themeColor="accent1" w:themeShade="BF"/>
    </w:rPr>
  </w:style>
  <w:style w:type="paragraph" w:styleId="IntenseQuote">
    <w:name w:val="Intense Quote"/>
    <w:basedOn w:val="Normal"/>
    <w:next w:val="Normal"/>
    <w:link w:val="IntenseQuoteChar"/>
    <w:uiPriority w:val="30"/>
    <w:qFormat/>
    <w:rsid w:val="00D76C8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D76C85"/>
    <w:rPr>
      <w:i/>
      <w:iCs/>
      <w:color w:val="0F4761" w:themeColor="accent1" w:themeShade="BF"/>
    </w:rPr>
  </w:style>
  <w:style w:type="character" w:styleId="IntenseReference">
    <w:name w:val="Intense Reference"/>
    <w:basedOn w:val="DefaultParagraphFont"/>
    <w:uiPriority w:val="32"/>
    <w:qFormat/>
    <w:rsid w:val="00D76C85"/>
    <w:rPr>
      <w:b/>
      <w:bCs/>
      <w:smallCaps/>
      <w:color w:val="0F4761" w:themeColor="accent1" w:themeShade="BF"/>
      <w:spacing w:val="5"/>
    </w:rPr>
  </w:style>
  <w:style w:type="paragraph" w:styleId="TOCHeading">
    <w:name w:val="TOC Heading"/>
    <w:basedOn w:val="Heading1"/>
    <w:next w:val="Normal"/>
    <w:uiPriority w:val="39"/>
    <w:unhideWhenUsed/>
    <w:qFormat/>
    <w:rsid w:val="00D76C85"/>
    <w:pPr>
      <w:spacing w:before="240" w:after="0"/>
      <w:outlineLvl w:val="9"/>
    </w:pPr>
    <w:rPr>
      <w:kern w:val="0"/>
      <w:sz w:val="32"/>
      <w:szCs w:val="32"/>
    </w:rPr>
  </w:style>
  <w:style w:type="paragraph" w:styleId="TOC2">
    <w:name w:val="toc 2"/>
    <w:basedOn w:val="Normal"/>
    <w:next w:val="Normal"/>
    <w:autoRedefine/>
    <w:uiPriority w:val="39"/>
    <w:unhideWhenUsed/>
    <w:rsid w:val="00D76C85"/>
    <w:pPr>
      <w:spacing w:after="100"/>
      <w:ind w:left="220"/>
    </w:pPr>
    <w:rPr>
      <w:rFonts w:eastAsiaTheme="minorEastAsia" w:cs="Times New Roman"/>
      <w:kern w:val="0"/>
    </w:rPr>
  </w:style>
  <w:style w:type="paragraph" w:styleId="TOC1">
    <w:name w:val="toc 1"/>
    <w:basedOn w:val="Normal"/>
    <w:next w:val="Normal"/>
    <w:autoRedefine/>
    <w:uiPriority w:val="39"/>
    <w:unhideWhenUsed/>
    <w:rsid w:val="00D76C85"/>
    <w:pPr>
      <w:spacing w:after="100"/>
    </w:pPr>
    <w:rPr>
      <w:rFonts w:eastAsiaTheme="minorEastAsia" w:cs="Times New Roman"/>
      <w:kern w:val="0"/>
    </w:rPr>
  </w:style>
  <w:style w:type="paragraph" w:styleId="TOC3">
    <w:name w:val="toc 3"/>
    <w:basedOn w:val="Normal"/>
    <w:next w:val="Normal"/>
    <w:autoRedefine/>
    <w:uiPriority w:val="39"/>
    <w:unhideWhenUsed/>
    <w:rsid w:val="00D76C85"/>
    <w:pPr>
      <w:spacing w:after="100"/>
      <w:ind w:left="440"/>
    </w:pPr>
    <w:rPr>
      <w:rFonts w:eastAsiaTheme="minorEastAsia" w:cs="Times New Roman"/>
      <w:kern w:val="0"/>
    </w:rPr>
  </w:style>
  <w:style w:type="character" w:styleId="CommentReference">
    <w:name w:val="annotation reference"/>
    <w:basedOn w:val="DefaultParagraphFont"/>
    <w:uiPriority w:val="99"/>
    <w:unhideWhenUsed/>
    <w:rsid w:val="003A09B4"/>
    <w:rPr>
      <w:sz w:val="16"/>
      <w:szCs w:val="16"/>
    </w:rPr>
  </w:style>
  <w:style w:type="paragraph" w:styleId="CommentText">
    <w:name w:val="annotation text"/>
    <w:basedOn w:val="Normal"/>
    <w:link w:val="CommentTextChar"/>
    <w:uiPriority w:val="99"/>
    <w:unhideWhenUsed/>
    <w:rsid w:val="003A09B4"/>
    <w:pPr>
      <w:spacing w:line="240" w:lineRule="auto"/>
    </w:pPr>
    <w:rPr>
      <w:sz w:val="20"/>
      <w:szCs w:val="20"/>
    </w:rPr>
  </w:style>
  <w:style w:type="character" w:customStyle="1" w:styleId="CommentTextChar">
    <w:name w:val="Comment Text Char"/>
    <w:basedOn w:val="DefaultParagraphFont"/>
    <w:link w:val="CommentText"/>
    <w:uiPriority w:val="99"/>
    <w:rsid w:val="003A09B4"/>
    <w:rPr>
      <w:sz w:val="20"/>
      <w:szCs w:val="20"/>
    </w:rPr>
  </w:style>
  <w:style w:type="paragraph" w:styleId="CommentSubject">
    <w:name w:val="annotation subject"/>
    <w:basedOn w:val="CommentText"/>
    <w:next w:val="CommentText"/>
    <w:link w:val="CommentSubjectChar"/>
    <w:uiPriority w:val="99"/>
    <w:semiHidden/>
    <w:unhideWhenUsed/>
    <w:rsid w:val="003A09B4"/>
    <w:rPr>
      <w:b/>
      <w:bCs/>
    </w:rPr>
  </w:style>
  <w:style w:type="character" w:customStyle="1" w:styleId="CommentSubjectChar">
    <w:name w:val="Comment Subject Char"/>
    <w:basedOn w:val="CommentTextChar"/>
    <w:link w:val="CommentSubject"/>
    <w:uiPriority w:val="99"/>
    <w:semiHidden/>
    <w:rsid w:val="003A09B4"/>
    <w:rPr>
      <w:b/>
      <w:bCs/>
      <w:sz w:val="20"/>
      <w:szCs w:val="20"/>
    </w:rPr>
  </w:style>
  <w:style w:type="paragraph" w:styleId="Caption">
    <w:name w:val="caption"/>
    <w:basedOn w:val="Normal"/>
    <w:next w:val="Normal"/>
    <w:link w:val="CaptionChar"/>
    <w:uiPriority w:val="35"/>
    <w:unhideWhenUsed/>
    <w:qFormat/>
    <w:rsid w:val="00A65265"/>
    <w:pPr>
      <w:keepNext/>
      <w:spacing w:after="200" w:line="240" w:lineRule="auto"/>
      <w:jc w:val="center"/>
    </w:pPr>
    <w:rPr>
      <w:i/>
      <w:iCs/>
      <w:color w:val="0E2841" w:themeColor="text2"/>
    </w:rPr>
  </w:style>
  <w:style w:type="table" w:styleId="GridTable4-Accent1">
    <w:name w:val="Grid Table 4 Accent 1"/>
    <w:basedOn w:val="TableNormal"/>
    <w:uiPriority w:val="49"/>
    <w:rsid w:val="00315058"/>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59"/>
    <w:rsid w:val="007A2BB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ListParagraph"/>
    <w:uiPriority w:val="34"/>
    <w:rsid w:val="00203FB2"/>
  </w:style>
  <w:style w:type="character" w:customStyle="1" w:styleId="CaptionChar">
    <w:name w:val="Caption Char"/>
    <w:basedOn w:val="DefaultParagraphFont"/>
    <w:link w:val="Caption"/>
    <w:uiPriority w:val="35"/>
    <w:rsid w:val="00A65265"/>
    <w:rPr>
      <w:i/>
      <w:iCs/>
      <w:color w:val="0E2841" w:themeColor="text2"/>
    </w:rPr>
  </w:style>
  <w:style w:type="table" w:styleId="GridTable4-Accent2">
    <w:name w:val="Grid Table 4 Accent 2"/>
    <w:basedOn w:val="TableNormal"/>
    <w:uiPriority w:val="49"/>
    <w:rsid w:val="00B54758"/>
    <w:pPr>
      <w:spacing w:after="0" w:line="240" w:lineRule="auto"/>
    </w:pPr>
    <w:tblPr>
      <w:tblStyleRowBandSize w:val="1"/>
      <w:tblStyleColBandSize w:val="1"/>
      <w:tblBorders>
        <w:top w:val="single" w:sz="4" w:space="0" w:color="F1A983" w:themeColor="accent2" w:themeTint="99"/>
        <w:left w:val="single" w:sz="4" w:space="0" w:color="F1A983" w:themeColor="accent2" w:themeTint="99"/>
        <w:bottom w:val="single" w:sz="4" w:space="0" w:color="F1A983" w:themeColor="accent2" w:themeTint="99"/>
        <w:right w:val="single" w:sz="4" w:space="0" w:color="F1A983" w:themeColor="accent2" w:themeTint="99"/>
        <w:insideH w:val="single" w:sz="4" w:space="0" w:color="F1A983" w:themeColor="accent2" w:themeTint="99"/>
        <w:insideV w:val="single" w:sz="4" w:space="0" w:color="F1A983" w:themeColor="accent2" w:themeTint="99"/>
      </w:tblBorders>
    </w:tblPr>
    <w:tblStylePr w:type="firstRow">
      <w:rPr>
        <w:b/>
        <w:bCs/>
        <w:color w:val="FFFFFF" w:themeColor="background1"/>
      </w:rPr>
      <w:tblPr/>
      <w:tcPr>
        <w:tcBorders>
          <w:top w:val="single" w:sz="4" w:space="0" w:color="E97132" w:themeColor="accent2"/>
          <w:left w:val="single" w:sz="4" w:space="0" w:color="E97132" w:themeColor="accent2"/>
          <w:bottom w:val="single" w:sz="4" w:space="0" w:color="E97132" w:themeColor="accent2"/>
          <w:right w:val="single" w:sz="4" w:space="0" w:color="E97132" w:themeColor="accent2"/>
          <w:insideH w:val="nil"/>
          <w:insideV w:val="nil"/>
        </w:tcBorders>
        <w:shd w:val="clear" w:color="auto" w:fill="E97132" w:themeFill="accent2"/>
      </w:tcPr>
    </w:tblStylePr>
    <w:tblStylePr w:type="lastRow">
      <w:rPr>
        <w:b/>
        <w:bCs/>
      </w:rPr>
      <w:tblPr/>
      <w:tcPr>
        <w:tcBorders>
          <w:top w:val="double" w:sz="4" w:space="0" w:color="E97132" w:themeColor="accent2"/>
        </w:tcBorders>
      </w:tc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character" w:styleId="FootnoteReference">
    <w:name w:val="footnote reference"/>
    <w:basedOn w:val="DefaultParagraphFont"/>
    <w:uiPriority w:val="99"/>
    <w:semiHidden/>
    <w:rsid w:val="00671D77"/>
    <w:rPr>
      <w:position w:val="6"/>
      <w:sz w:val="16"/>
    </w:rPr>
  </w:style>
  <w:style w:type="paragraph" w:styleId="FootnoteText">
    <w:name w:val="footnote text"/>
    <w:basedOn w:val="Normal"/>
    <w:link w:val="FootnoteTextChar"/>
    <w:uiPriority w:val="99"/>
    <w:rsid w:val="00671D77"/>
    <w:pPr>
      <w:spacing w:after="0" w:line="240" w:lineRule="auto"/>
    </w:pPr>
    <w:rPr>
      <w:rFonts w:ascii="Times New Roman" w:eastAsia="Times New Roman" w:hAnsi="Times New Roman" w:cs="Times New Roman"/>
      <w:kern w:val="0"/>
      <w:sz w:val="20"/>
      <w:szCs w:val="20"/>
      <w14:ligatures w14:val="none"/>
    </w:rPr>
  </w:style>
  <w:style w:type="character" w:customStyle="1" w:styleId="FootnoteTextChar">
    <w:name w:val="Footnote Text Char"/>
    <w:basedOn w:val="DefaultParagraphFont"/>
    <w:link w:val="FootnoteText"/>
    <w:uiPriority w:val="99"/>
    <w:rsid w:val="00671D77"/>
    <w:rPr>
      <w:rFonts w:ascii="Times New Roman" w:eastAsia="Times New Roman" w:hAnsi="Times New Roman" w:cs="Times New Roman"/>
      <w:kern w:val="0"/>
      <w:sz w:val="20"/>
      <w:szCs w:val="20"/>
      <w14:ligatures w14:val="none"/>
    </w:rPr>
  </w:style>
  <w:style w:type="character" w:styleId="Hyperlink">
    <w:name w:val="Hyperlink"/>
    <w:basedOn w:val="DefaultParagraphFont"/>
    <w:uiPriority w:val="99"/>
    <w:unhideWhenUsed/>
    <w:rsid w:val="008B2794"/>
    <w:rPr>
      <w:color w:val="467886" w:themeColor="hyperlink"/>
      <w:u w:val="single"/>
    </w:rPr>
  </w:style>
  <w:style w:type="paragraph" w:styleId="Header">
    <w:name w:val="header"/>
    <w:basedOn w:val="Normal"/>
    <w:link w:val="HeaderChar"/>
    <w:uiPriority w:val="99"/>
    <w:unhideWhenUsed/>
    <w:rsid w:val="008A3200"/>
    <w:pPr>
      <w:tabs>
        <w:tab w:val="center" w:pos="4680"/>
        <w:tab w:val="right" w:pos="9360"/>
      </w:tabs>
      <w:spacing w:after="0" w:line="240" w:lineRule="auto"/>
    </w:pPr>
  </w:style>
  <w:style w:type="character" w:customStyle="1" w:styleId="HeaderChar">
    <w:name w:val="Header Char"/>
    <w:basedOn w:val="DefaultParagraphFont"/>
    <w:link w:val="Header"/>
    <w:uiPriority w:val="99"/>
    <w:rsid w:val="008A3200"/>
  </w:style>
  <w:style w:type="paragraph" w:styleId="Footer">
    <w:name w:val="footer"/>
    <w:basedOn w:val="Normal"/>
    <w:link w:val="FooterChar"/>
    <w:uiPriority w:val="99"/>
    <w:unhideWhenUsed/>
    <w:rsid w:val="008A3200"/>
    <w:pPr>
      <w:tabs>
        <w:tab w:val="center" w:pos="4680"/>
        <w:tab w:val="right" w:pos="9360"/>
      </w:tabs>
      <w:spacing w:after="0" w:line="240" w:lineRule="auto"/>
    </w:pPr>
  </w:style>
  <w:style w:type="character" w:customStyle="1" w:styleId="FooterChar">
    <w:name w:val="Footer Char"/>
    <w:basedOn w:val="DefaultParagraphFont"/>
    <w:link w:val="Footer"/>
    <w:uiPriority w:val="99"/>
    <w:rsid w:val="008A3200"/>
  </w:style>
  <w:style w:type="paragraph" w:styleId="Revision">
    <w:name w:val="Revision"/>
    <w:hidden/>
    <w:uiPriority w:val="99"/>
    <w:semiHidden/>
    <w:rsid w:val="00E60180"/>
    <w:pPr>
      <w:spacing w:after="0" w:line="240" w:lineRule="auto"/>
    </w:pPr>
  </w:style>
  <w:style w:type="character" w:styleId="Mention">
    <w:name w:val="Mention"/>
    <w:basedOn w:val="DefaultParagraphFont"/>
    <w:uiPriority w:val="99"/>
    <w:unhideWhenUsed/>
    <w:rsid w:val="00CA13B4"/>
    <w:rPr>
      <w:color w:val="2B579A"/>
      <w:shd w:val="clear" w:color="auto" w:fill="E1DFDD"/>
    </w:rPr>
  </w:style>
  <w:style w:type="table" w:styleId="GridTable4-Accent4">
    <w:name w:val="Grid Table 4 Accent 4"/>
    <w:basedOn w:val="TableNormal"/>
    <w:uiPriority w:val="49"/>
    <w:rsid w:val="008D4A65"/>
    <w:pPr>
      <w:spacing w:after="0" w:line="240" w:lineRule="auto"/>
    </w:p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color w:val="FFFFFF" w:themeColor="background1"/>
      </w:rPr>
      <w:tblPr/>
      <w:tcPr>
        <w:tcBorders>
          <w:top w:val="single" w:sz="4" w:space="0" w:color="0F9ED5" w:themeColor="accent4"/>
          <w:left w:val="single" w:sz="4" w:space="0" w:color="0F9ED5" w:themeColor="accent4"/>
          <w:bottom w:val="single" w:sz="4" w:space="0" w:color="0F9ED5" w:themeColor="accent4"/>
          <w:right w:val="single" w:sz="4" w:space="0" w:color="0F9ED5" w:themeColor="accent4"/>
          <w:insideH w:val="nil"/>
          <w:insideV w:val="nil"/>
        </w:tcBorders>
        <w:shd w:val="clear" w:color="auto" w:fill="0F9ED5" w:themeFill="accent4"/>
      </w:tcPr>
    </w:tblStylePr>
    <w:tblStylePr w:type="lastRow">
      <w:rPr>
        <w:b/>
        <w:bCs/>
      </w:rPr>
      <w:tblPr/>
      <w:tcPr>
        <w:tcBorders>
          <w:top w:val="double" w:sz="4" w:space="0" w:color="0F9ED5" w:themeColor="accent4"/>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ListTable4-Accent1">
    <w:name w:val="List Table 4 Accent 1"/>
    <w:basedOn w:val="TableNormal"/>
    <w:uiPriority w:val="49"/>
    <w:rsid w:val="00591D61"/>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tcBorders>
        <w:shd w:val="clear" w:color="auto" w:fill="156082" w:themeFill="accent1"/>
      </w:tcPr>
    </w:tblStylePr>
    <w:tblStylePr w:type="lastRow">
      <w:rPr>
        <w:b/>
        <w:bCs/>
      </w:rPr>
      <w:tblPr/>
      <w:tcPr>
        <w:tcBorders>
          <w:top w:val="double" w:sz="4" w:space="0" w:color="45B0E1" w:themeColor="accent1" w:themeTint="99"/>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character" w:styleId="UnresolvedMention">
    <w:name w:val="Unresolved Mention"/>
    <w:basedOn w:val="DefaultParagraphFont"/>
    <w:uiPriority w:val="99"/>
    <w:semiHidden/>
    <w:unhideWhenUsed/>
    <w:rsid w:val="004C4DC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7286353">
      <w:bodyDiv w:val="1"/>
      <w:marLeft w:val="0"/>
      <w:marRight w:val="0"/>
      <w:marTop w:val="0"/>
      <w:marBottom w:val="0"/>
      <w:divBdr>
        <w:top w:val="none" w:sz="0" w:space="0" w:color="auto"/>
        <w:left w:val="none" w:sz="0" w:space="0" w:color="auto"/>
        <w:bottom w:val="none" w:sz="0" w:space="0" w:color="auto"/>
        <w:right w:val="none" w:sz="0" w:space="0" w:color="auto"/>
      </w:divBdr>
    </w:div>
    <w:div w:id="338313414">
      <w:bodyDiv w:val="1"/>
      <w:marLeft w:val="0"/>
      <w:marRight w:val="0"/>
      <w:marTop w:val="0"/>
      <w:marBottom w:val="0"/>
      <w:divBdr>
        <w:top w:val="none" w:sz="0" w:space="0" w:color="auto"/>
        <w:left w:val="none" w:sz="0" w:space="0" w:color="auto"/>
        <w:bottom w:val="none" w:sz="0" w:space="0" w:color="auto"/>
        <w:right w:val="none" w:sz="0" w:space="0" w:color="auto"/>
      </w:divBdr>
    </w:div>
    <w:div w:id="801996497">
      <w:bodyDiv w:val="1"/>
      <w:marLeft w:val="0"/>
      <w:marRight w:val="0"/>
      <w:marTop w:val="0"/>
      <w:marBottom w:val="0"/>
      <w:divBdr>
        <w:top w:val="none" w:sz="0" w:space="0" w:color="auto"/>
        <w:left w:val="none" w:sz="0" w:space="0" w:color="auto"/>
        <w:bottom w:val="none" w:sz="0" w:space="0" w:color="auto"/>
        <w:right w:val="none" w:sz="0" w:space="0" w:color="auto"/>
      </w:divBdr>
      <w:divsChild>
        <w:div w:id="89159408">
          <w:marLeft w:val="0"/>
          <w:marRight w:val="0"/>
          <w:marTop w:val="0"/>
          <w:marBottom w:val="0"/>
          <w:divBdr>
            <w:top w:val="none" w:sz="0" w:space="0" w:color="auto"/>
            <w:left w:val="none" w:sz="0" w:space="0" w:color="auto"/>
            <w:bottom w:val="none" w:sz="0" w:space="0" w:color="auto"/>
            <w:right w:val="none" w:sz="0" w:space="0" w:color="auto"/>
          </w:divBdr>
        </w:div>
        <w:div w:id="99230961">
          <w:marLeft w:val="0"/>
          <w:marRight w:val="0"/>
          <w:marTop w:val="0"/>
          <w:marBottom w:val="0"/>
          <w:divBdr>
            <w:top w:val="none" w:sz="0" w:space="0" w:color="auto"/>
            <w:left w:val="none" w:sz="0" w:space="0" w:color="auto"/>
            <w:bottom w:val="none" w:sz="0" w:space="0" w:color="auto"/>
            <w:right w:val="none" w:sz="0" w:space="0" w:color="auto"/>
          </w:divBdr>
        </w:div>
        <w:div w:id="258946520">
          <w:marLeft w:val="0"/>
          <w:marRight w:val="0"/>
          <w:marTop w:val="0"/>
          <w:marBottom w:val="0"/>
          <w:divBdr>
            <w:top w:val="none" w:sz="0" w:space="0" w:color="auto"/>
            <w:left w:val="none" w:sz="0" w:space="0" w:color="auto"/>
            <w:bottom w:val="none" w:sz="0" w:space="0" w:color="auto"/>
            <w:right w:val="none" w:sz="0" w:space="0" w:color="auto"/>
          </w:divBdr>
        </w:div>
        <w:div w:id="270207684">
          <w:marLeft w:val="0"/>
          <w:marRight w:val="0"/>
          <w:marTop w:val="0"/>
          <w:marBottom w:val="0"/>
          <w:divBdr>
            <w:top w:val="none" w:sz="0" w:space="0" w:color="auto"/>
            <w:left w:val="none" w:sz="0" w:space="0" w:color="auto"/>
            <w:bottom w:val="none" w:sz="0" w:space="0" w:color="auto"/>
            <w:right w:val="none" w:sz="0" w:space="0" w:color="auto"/>
          </w:divBdr>
        </w:div>
        <w:div w:id="510997492">
          <w:marLeft w:val="0"/>
          <w:marRight w:val="0"/>
          <w:marTop w:val="0"/>
          <w:marBottom w:val="0"/>
          <w:divBdr>
            <w:top w:val="none" w:sz="0" w:space="0" w:color="auto"/>
            <w:left w:val="none" w:sz="0" w:space="0" w:color="auto"/>
            <w:bottom w:val="none" w:sz="0" w:space="0" w:color="auto"/>
            <w:right w:val="none" w:sz="0" w:space="0" w:color="auto"/>
          </w:divBdr>
        </w:div>
        <w:div w:id="563300248">
          <w:marLeft w:val="0"/>
          <w:marRight w:val="0"/>
          <w:marTop w:val="0"/>
          <w:marBottom w:val="0"/>
          <w:divBdr>
            <w:top w:val="none" w:sz="0" w:space="0" w:color="auto"/>
            <w:left w:val="none" w:sz="0" w:space="0" w:color="auto"/>
            <w:bottom w:val="none" w:sz="0" w:space="0" w:color="auto"/>
            <w:right w:val="none" w:sz="0" w:space="0" w:color="auto"/>
          </w:divBdr>
        </w:div>
        <w:div w:id="590746526">
          <w:marLeft w:val="0"/>
          <w:marRight w:val="0"/>
          <w:marTop w:val="0"/>
          <w:marBottom w:val="0"/>
          <w:divBdr>
            <w:top w:val="none" w:sz="0" w:space="0" w:color="auto"/>
            <w:left w:val="none" w:sz="0" w:space="0" w:color="auto"/>
            <w:bottom w:val="none" w:sz="0" w:space="0" w:color="auto"/>
            <w:right w:val="none" w:sz="0" w:space="0" w:color="auto"/>
          </w:divBdr>
        </w:div>
        <w:div w:id="627056438">
          <w:marLeft w:val="0"/>
          <w:marRight w:val="0"/>
          <w:marTop w:val="0"/>
          <w:marBottom w:val="0"/>
          <w:divBdr>
            <w:top w:val="none" w:sz="0" w:space="0" w:color="auto"/>
            <w:left w:val="none" w:sz="0" w:space="0" w:color="auto"/>
            <w:bottom w:val="none" w:sz="0" w:space="0" w:color="auto"/>
            <w:right w:val="none" w:sz="0" w:space="0" w:color="auto"/>
          </w:divBdr>
        </w:div>
        <w:div w:id="789671324">
          <w:marLeft w:val="0"/>
          <w:marRight w:val="0"/>
          <w:marTop w:val="0"/>
          <w:marBottom w:val="0"/>
          <w:divBdr>
            <w:top w:val="none" w:sz="0" w:space="0" w:color="auto"/>
            <w:left w:val="none" w:sz="0" w:space="0" w:color="auto"/>
            <w:bottom w:val="none" w:sz="0" w:space="0" w:color="auto"/>
            <w:right w:val="none" w:sz="0" w:space="0" w:color="auto"/>
          </w:divBdr>
        </w:div>
        <w:div w:id="793864002">
          <w:marLeft w:val="0"/>
          <w:marRight w:val="0"/>
          <w:marTop w:val="0"/>
          <w:marBottom w:val="0"/>
          <w:divBdr>
            <w:top w:val="none" w:sz="0" w:space="0" w:color="auto"/>
            <w:left w:val="none" w:sz="0" w:space="0" w:color="auto"/>
            <w:bottom w:val="none" w:sz="0" w:space="0" w:color="auto"/>
            <w:right w:val="none" w:sz="0" w:space="0" w:color="auto"/>
          </w:divBdr>
        </w:div>
        <w:div w:id="874582751">
          <w:marLeft w:val="0"/>
          <w:marRight w:val="0"/>
          <w:marTop w:val="0"/>
          <w:marBottom w:val="0"/>
          <w:divBdr>
            <w:top w:val="none" w:sz="0" w:space="0" w:color="auto"/>
            <w:left w:val="none" w:sz="0" w:space="0" w:color="auto"/>
            <w:bottom w:val="none" w:sz="0" w:space="0" w:color="auto"/>
            <w:right w:val="none" w:sz="0" w:space="0" w:color="auto"/>
          </w:divBdr>
        </w:div>
        <w:div w:id="875197209">
          <w:marLeft w:val="0"/>
          <w:marRight w:val="0"/>
          <w:marTop w:val="0"/>
          <w:marBottom w:val="0"/>
          <w:divBdr>
            <w:top w:val="none" w:sz="0" w:space="0" w:color="auto"/>
            <w:left w:val="none" w:sz="0" w:space="0" w:color="auto"/>
            <w:bottom w:val="none" w:sz="0" w:space="0" w:color="auto"/>
            <w:right w:val="none" w:sz="0" w:space="0" w:color="auto"/>
          </w:divBdr>
        </w:div>
        <w:div w:id="1012610813">
          <w:marLeft w:val="0"/>
          <w:marRight w:val="0"/>
          <w:marTop w:val="0"/>
          <w:marBottom w:val="0"/>
          <w:divBdr>
            <w:top w:val="none" w:sz="0" w:space="0" w:color="auto"/>
            <w:left w:val="none" w:sz="0" w:space="0" w:color="auto"/>
            <w:bottom w:val="none" w:sz="0" w:space="0" w:color="auto"/>
            <w:right w:val="none" w:sz="0" w:space="0" w:color="auto"/>
          </w:divBdr>
        </w:div>
        <w:div w:id="1166088616">
          <w:marLeft w:val="0"/>
          <w:marRight w:val="0"/>
          <w:marTop w:val="0"/>
          <w:marBottom w:val="0"/>
          <w:divBdr>
            <w:top w:val="none" w:sz="0" w:space="0" w:color="auto"/>
            <w:left w:val="none" w:sz="0" w:space="0" w:color="auto"/>
            <w:bottom w:val="none" w:sz="0" w:space="0" w:color="auto"/>
            <w:right w:val="none" w:sz="0" w:space="0" w:color="auto"/>
          </w:divBdr>
        </w:div>
        <w:div w:id="1475026300">
          <w:marLeft w:val="0"/>
          <w:marRight w:val="0"/>
          <w:marTop w:val="0"/>
          <w:marBottom w:val="0"/>
          <w:divBdr>
            <w:top w:val="none" w:sz="0" w:space="0" w:color="auto"/>
            <w:left w:val="none" w:sz="0" w:space="0" w:color="auto"/>
            <w:bottom w:val="none" w:sz="0" w:space="0" w:color="auto"/>
            <w:right w:val="none" w:sz="0" w:space="0" w:color="auto"/>
          </w:divBdr>
        </w:div>
        <w:div w:id="1486434308">
          <w:marLeft w:val="0"/>
          <w:marRight w:val="0"/>
          <w:marTop w:val="0"/>
          <w:marBottom w:val="0"/>
          <w:divBdr>
            <w:top w:val="none" w:sz="0" w:space="0" w:color="auto"/>
            <w:left w:val="none" w:sz="0" w:space="0" w:color="auto"/>
            <w:bottom w:val="none" w:sz="0" w:space="0" w:color="auto"/>
            <w:right w:val="none" w:sz="0" w:space="0" w:color="auto"/>
          </w:divBdr>
        </w:div>
        <w:div w:id="1693148796">
          <w:marLeft w:val="0"/>
          <w:marRight w:val="0"/>
          <w:marTop w:val="0"/>
          <w:marBottom w:val="0"/>
          <w:divBdr>
            <w:top w:val="none" w:sz="0" w:space="0" w:color="auto"/>
            <w:left w:val="none" w:sz="0" w:space="0" w:color="auto"/>
            <w:bottom w:val="none" w:sz="0" w:space="0" w:color="auto"/>
            <w:right w:val="none" w:sz="0" w:space="0" w:color="auto"/>
          </w:divBdr>
        </w:div>
        <w:div w:id="1855460144">
          <w:marLeft w:val="0"/>
          <w:marRight w:val="0"/>
          <w:marTop w:val="0"/>
          <w:marBottom w:val="0"/>
          <w:divBdr>
            <w:top w:val="none" w:sz="0" w:space="0" w:color="auto"/>
            <w:left w:val="none" w:sz="0" w:space="0" w:color="auto"/>
            <w:bottom w:val="none" w:sz="0" w:space="0" w:color="auto"/>
            <w:right w:val="none" w:sz="0" w:space="0" w:color="auto"/>
          </w:divBdr>
        </w:div>
        <w:div w:id="1930773605">
          <w:marLeft w:val="0"/>
          <w:marRight w:val="0"/>
          <w:marTop w:val="0"/>
          <w:marBottom w:val="0"/>
          <w:divBdr>
            <w:top w:val="none" w:sz="0" w:space="0" w:color="auto"/>
            <w:left w:val="none" w:sz="0" w:space="0" w:color="auto"/>
            <w:bottom w:val="none" w:sz="0" w:space="0" w:color="auto"/>
            <w:right w:val="none" w:sz="0" w:space="0" w:color="auto"/>
          </w:divBdr>
        </w:div>
        <w:div w:id="1963459393">
          <w:marLeft w:val="0"/>
          <w:marRight w:val="0"/>
          <w:marTop w:val="0"/>
          <w:marBottom w:val="0"/>
          <w:divBdr>
            <w:top w:val="none" w:sz="0" w:space="0" w:color="auto"/>
            <w:left w:val="none" w:sz="0" w:space="0" w:color="auto"/>
            <w:bottom w:val="none" w:sz="0" w:space="0" w:color="auto"/>
            <w:right w:val="none" w:sz="0" w:space="0" w:color="auto"/>
          </w:divBdr>
        </w:div>
        <w:div w:id="1978753677">
          <w:marLeft w:val="0"/>
          <w:marRight w:val="0"/>
          <w:marTop w:val="0"/>
          <w:marBottom w:val="0"/>
          <w:divBdr>
            <w:top w:val="none" w:sz="0" w:space="0" w:color="auto"/>
            <w:left w:val="none" w:sz="0" w:space="0" w:color="auto"/>
            <w:bottom w:val="none" w:sz="0" w:space="0" w:color="auto"/>
            <w:right w:val="none" w:sz="0" w:space="0" w:color="auto"/>
          </w:divBdr>
        </w:div>
        <w:div w:id="1988246906">
          <w:marLeft w:val="0"/>
          <w:marRight w:val="0"/>
          <w:marTop w:val="0"/>
          <w:marBottom w:val="0"/>
          <w:divBdr>
            <w:top w:val="none" w:sz="0" w:space="0" w:color="auto"/>
            <w:left w:val="none" w:sz="0" w:space="0" w:color="auto"/>
            <w:bottom w:val="none" w:sz="0" w:space="0" w:color="auto"/>
            <w:right w:val="none" w:sz="0" w:space="0" w:color="auto"/>
          </w:divBdr>
        </w:div>
      </w:divsChild>
    </w:div>
    <w:div w:id="1811285323">
      <w:bodyDiv w:val="1"/>
      <w:marLeft w:val="0"/>
      <w:marRight w:val="0"/>
      <w:marTop w:val="0"/>
      <w:marBottom w:val="0"/>
      <w:divBdr>
        <w:top w:val="none" w:sz="0" w:space="0" w:color="auto"/>
        <w:left w:val="none" w:sz="0" w:space="0" w:color="auto"/>
        <w:bottom w:val="none" w:sz="0" w:space="0" w:color="auto"/>
        <w:right w:val="none" w:sz="0" w:space="0" w:color="auto"/>
      </w:divBdr>
      <w:divsChild>
        <w:div w:id="114720559">
          <w:marLeft w:val="0"/>
          <w:marRight w:val="0"/>
          <w:marTop w:val="0"/>
          <w:marBottom w:val="0"/>
          <w:divBdr>
            <w:top w:val="none" w:sz="0" w:space="0" w:color="auto"/>
            <w:left w:val="none" w:sz="0" w:space="0" w:color="auto"/>
            <w:bottom w:val="none" w:sz="0" w:space="0" w:color="auto"/>
            <w:right w:val="none" w:sz="0" w:space="0" w:color="auto"/>
          </w:divBdr>
        </w:div>
        <w:div w:id="117116350">
          <w:marLeft w:val="0"/>
          <w:marRight w:val="0"/>
          <w:marTop w:val="0"/>
          <w:marBottom w:val="0"/>
          <w:divBdr>
            <w:top w:val="none" w:sz="0" w:space="0" w:color="auto"/>
            <w:left w:val="none" w:sz="0" w:space="0" w:color="auto"/>
            <w:bottom w:val="none" w:sz="0" w:space="0" w:color="auto"/>
            <w:right w:val="none" w:sz="0" w:space="0" w:color="auto"/>
          </w:divBdr>
        </w:div>
        <w:div w:id="175925697">
          <w:marLeft w:val="0"/>
          <w:marRight w:val="0"/>
          <w:marTop w:val="0"/>
          <w:marBottom w:val="0"/>
          <w:divBdr>
            <w:top w:val="none" w:sz="0" w:space="0" w:color="auto"/>
            <w:left w:val="none" w:sz="0" w:space="0" w:color="auto"/>
            <w:bottom w:val="none" w:sz="0" w:space="0" w:color="auto"/>
            <w:right w:val="none" w:sz="0" w:space="0" w:color="auto"/>
          </w:divBdr>
        </w:div>
        <w:div w:id="321004336">
          <w:marLeft w:val="0"/>
          <w:marRight w:val="0"/>
          <w:marTop w:val="0"/>
          <w:marBottom w:val="0"/>
          <w:divBdr>
            <w:top w:val="none" w:sz="0" w:space="0" w:color="auto"/>
            <w:left w:val="none" w:sz="0" w:space="0" w:color="auto"/>
            <w:bottom w:val="none" w:sz="0" w:space="0" w:color="auto"/>
            <w:right w:val="none" w:sz="0" w:space="0" w:color="auto"/>
          </w:divBdr>
        </w:div>
        <w:div w:id="656810713">
          <w:marLeft w:val="0"/>
          <w:marRight w:val="0"/>
          <w:marTop w:val="0"/>
          <w:marBottom w:val="0"/>
          <w:divBdr>
            <w:top w:val="none" w:sz="0" w:space="0" w:color="auto"/>
            <w:left w:val="none" w:sz="0" w:space="0" w:color="auto"/>
            <w:bottom w:val="none" w:sz="0" w:space="0" w:color="auto"/>
            <w:right w:val="none" w:sz="0" w:space="0" w:color="auto"/>
          </w:divBdr>
        </w:div>
        <w:div w:id="718669950">
          <w:marLeft w:val="0"/>
          <w:marRight w:val="0"/>
          <w:marTop w:val="0"/>
          <w:marBottom w:val="0"/>
          <w:divBdr>
            <w:top w:val="none" w:sz="0" w:space="0" w:color="auto"/>
            <w:left w:val="none" w:sz="0" w:space="0" w:color="auto"/>
            <w:bottom w:val="none" w:sz="0" w:space="0" w:color="auto"/>
            <w:right w:val="none" w:sz="0" w:space="0" w:color="auto"/>
          </w:divBdr>
        </w:div>
        <w:div w:id="848330440">
          <w:marLeft w:val="0"/>
          <w:marRight w:val="0"/>
          <w:marTop w:val="0"/>
          <w:marBottom w:val="0"/>
          <w:divBdr>
            <w:top w:val="none" w:sz="0" w:space="0" w:color="auto"/>
            <w:left w:val="none" w:sz="0" w:space="0" w:color="auto"/>
            <w:bottom w:val="none" w:sz="0" w:space="0" w:color="auto"/>
            <w:right w:val="none" w:sz="0" w:space="0" w:color="auto"/>
          </w:divBdr>
        </w:div>
        <w:div w:id="878395385">
          <w:marLeft w:val="0"/>
          <w:marRight w:val="0"/>
          <w:marTop w:val="0"/>
          <w:marBottom w:val="0"/>
          <w:divBdr>
            <w:top w:val="none" w:sz="0" w:space="0" w:color="auto"/>
            <w:left w:val="none" w:sz="0" w:space="0" w:color="auto"/>
            <w:bottom w:val="none" w:sz="0" w:space="0" w:color="auto"/>
            <w:right w:val="none" w:sz="0" w:space="0" w:color="auto"/>
          </w:divBdr>
        </w:div>
        <w:div w:id="1125928653">
          <w:marLeft w:val="0"/>
          <w:marRight w:val="0"/>
          <w:marTop w:val="0"/>
          <w:marBottom w:val="0"/>
          <w:divBdr>
            <w:top w:val="none" w:sz="0" w:space="0" w:color="auto"/>
            <w:left w:val="none" w:sz="0" w:space="0" w:color="auto"/>
            <w:bottom w:val="none" w:sz="0" w:space="0" w:color="auto"/>
            <w:right w:val="none" w:sz="0" w:space="0" w:color="auto"/>
          </w:divBdr>
        </w:div>
        <w:div w:id="1148522003">
          <w:marLeft w:val="0"/>
          <w:marRight w:val="0"/>
          <w:marTop w:val="0"/>
          <w:marBottom w:val="0"/>
          <w:divBdr>
            <w:top w:val="none" w:sz="0" w:space="0" w:color="auto"/>
            <w:left w:val="none" w:sz="0" w:space="0" w:color="auto"/>
            <w:bottom w:val="none" w:sz="0" w:space="0" w:color="auto"/>
            <w:right w:val="none" w:sz="0" w:space="0" w:color="auto"/>
          </w:divBdr>
        </w:div>
        <w:div w:id="1190683964">
          <w:marLeft w:val="0"/>
          <w:marRight w:val="0"/>
          <w:marTop w:val="0"/>
          <w:marBottom w:val="0"/>
          <w:divBdr>
            <w:top w:val="none" w:sz="0" w:space="0" w:color="auto"/>
            <w:left w:val="none" w:sz="0" w:space="0" w:color="auto"/>
            <w:bottom w:val="none" w:sz="0" w:space="0" w:color="auto"/>
            <w:right w:val="none" w:sz="0" w:space="0" w:color="auto"/>
          </w:divBdr>
        </w:div>
        <w:div w:id="1216115822">
          <w:marLeft w:val="0"/>
          <w:marRight w:val="0"/>
          <w:marTop w:val="0"/>
          <w:marBottom w:val="0"/>
          <w:divBdr>
            <w:top w:val="none" w:sz="0" w:space="0" w:color="auto"/>
            <w:left w:val="none" w:sz="0" w:space="0" w:color="auto"/>
            <w:bottom w:val="none" w:sz="0" w:space="0" w:color="auto"/>
            <w:right w:val="none" w:sz="0" w:space="0" w:color="auto"/>
          </w:divBdr>
        </w:div>
        <w:div w:id="1256280414">
          <w:marLeft w:val="0"/>
          <w:marRight w:val="0"/>
          <w:marTop w:val="0"/>
          <w:marBottom w:val="0"/>
          <w:divBdr>
            <w:top w:val="none" w:sz="0" w:space="0" w:color="auto"/>
            <w:left w:val="none" w:sz="0" w:space="0" w:color="auto"/>
            <w:bottom w:val="none" w:sz="0" w:space="0" w:color="auto"/>
            <w:right w:val="none" w:sz="0" w:space="0" w:color="auto"/>
          </w:divBdr>
        </w:div>
        <w:div w:id="1295453304">
          <w:marLeft w:val="0"/>
          <w:marRight w:val="0"/>
          <w:marTop w:val="0"/>
          <w:marBottom w:val="0"/>
          <w:divBdr>
            <w:top w:val="none" w:sz="0" w:space="0" w:color="auto"/>
            <w:left w:val="none" w:sz="0" w:space="0" w:color="auto"/>
            <w:bottom w:val="none" w:sz="0" w:space="0" w:color="auto"/>
            <w:right w:val="none" w:sz="0" w:space="0" w:color="auto"/>
          </w:divBdr>
        </w:div>
        <w:div w:id="1347948936">
          <w:marLeft w:val="0"/>
          <w:marRight w:val="0"/>
          <w:marTop w:val="0"/>
          <w:marBottom w:val="0"/>
          <w:divBdr>
            <w:top w:val="none" w:sz="0" w:space="0" w:color="auto"/>
            <w:left w:val="none" w:sz="0" w:space="0" w:color="auto"/>
            <w:bottom w:val="none" w:sz="0" w:space="0" w:color="auto"/>
            <w:right w:val="none" w:sz="0" w:space="0" w:color="auto"/>
          </w:divBdr>
        </w:div>
        <w:div w:id="1418282646">
          <w:marLeft w:val="0"/>
          <w:marRight w:val="0"/>
          <w:marTop w:val="0"/>
          <w:marBottom w:val="0"/>
          <w:divBdr>
            <w:top w:val="none" w:sz="0" w:space="0" w:color="auto"/>
            <w:left w:val="none" w:sz="0" w:space="0" w:color="auto"/>
            <w:bottom w:val="none" w:sz="0" w:space="0" w:color="auto"/>
            <w:right w:val="none" w:sz="0" w:space="0" w:color="auto"/>
          </w:divBdr>
        </w:div>
        <w:div w:id="1473403800">
          <w:marLeft w:val="0"/>
          <w:marRight w:val="0"/>
          <w:marTop w:val="0"/>
          <w:marBottom w:val="0"/>
          <w:divBdr>
            <w:top w:val="none" w:sz="0" w:space="0" w:color="auto"/>
            <w:left w:val="none" w:sz="0" w:space="0" w:color="auto"/>
            <w:bottom w:val="none" w:sz="0" w:space="0" w:color="auto"/>
            <w:right w:val="none" w:sz="0" w:space="0" w:color="auto"/>
          </w:divBdr>
        </w:div>
        <w:div w:id="1659649077">
          <w:marLeft w:val="0"/>
          <w:marRight w:val="0"/>
          <w:marTop w:val="0"/>
          <w:marBottom w:val="0"/>
          <w:divBdr>
            <w:top w:val="none" w:sz="0" w:space="0" w:color="auto"/>
            <w:left w:val="none" w:sz="0" w:space="0" w:color="auto"/>
            <w:bottom w:val="none" w:sz="0" w:space="0" w:color="auto"/>
            <w:right w:val="none" w:sz="0" w:space="0" w:color="auto"/>
          </w:divBdr>
        </w:div>
        <w:div w:id="1696468428">
          <w:marLeft w:val="0"/>
          <w:marRight w:val="0"/>
          <w:marTop w:val="0"/>
          <w:marBottom w:val="0"/>
          <w:divBdr>
            <w:top w:val="none" w:sz="0" w:space="0" w:color="auto"/>
            <w:left w:val="none" w:sz="0" w:space="0" w:color="auto"/>
            <w:bottom w:val="none" w:sz="0" w:space="0" w:color="auto"/>
            <w:right w:val="none" w:sz="0" w:space="0" w:color="auto"/>
          </w:divBdr>
        </w:div>
        <w:div w:id="1720475850">
          <w:marLeft w:val="0"/>
          <w:marRight w:val="0"/>
          <w:marTop w:val="0"/>
          <w:marBottom w:val="0"/>
          <w:divBdr>
            <w:top w:val="none" w:sz="0" w:space="0" w:color="auto"/>
            <w:left w:val="none" w:sz="0" w:space="0" w:color="auto"/>
            <w:bottom w:val="none" w:sz="0" w:space="0" w:color="auto"/>
            <w:right w:val="none" w:sz="0" w:space="0" w:color="auto"/>
          </w:divBdr>
        </w:div>
        <w:div w:id="1879274703">
          <w:marLeft w:val="0"/>
          <w:marRight w:val="0"/>
          <w:marTop w:val="0"/>
          <w:marBottom w:val="0"/>
          <w:divBdr>
            <w:top w:val="none" w:sz="0" w:space="0" w:color="auto"/>
            <w:left w:val="none" w:sz="0" w:space="0" w:color="auto"/>
            <w:bottom w:val="none" w:sz="0" w:space="0" w:color="auto"/>
            <w:right w:val="none" w:sz="0" w:space="0" w:color="auto"/>
          </w:divBdr>
        </w:div>
        <w:div w:id="213879110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4.png"/><Relationship Id="rId26" Type="http://schemas.openxmlformats.org/officeDocument/2006/relationships/image" Target="media/image11.png"/><Relationship Id="rId39" Type="http://schemas.openxmlformats.org/officeDocument/2006/relationships/customXml" Target="../customXml/item4.xml"/><Relationship Id="rId21" Type="http://schemas.openxmlformats.org/officeDocument/2006/relationships/hyperlink" Target="https://www.eia.gov/" TargetMode="External"/><Relationship Id="rId34" Type="http://schemas.openxmlformats.org/officeDocument/2006/relationships/header" Target="header6.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3.png"/><Relationship Id="rId25" Type="http://schemas.openxmlformats.org/officeDocument/2006/relationships/image" Target="media/image10.png"/><Relationship Id="rId33" Type="http://schemas.openxmlformats.org/officeDocument/2006/relationships/image" Target="media/image15.png"/><Relationship Id="rId38"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9.png"/><Relationship Id="rId32" Type="http://schemas.openxmlformats.org/officeDocument/2006/relationships/image" Target="media/image14.png"/><Relationship Id="rId37"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8.png"/><Relationship Id="rId28" Type="http://schemas.openxmlformats.org/officeDocument/2006/relationships/header" Target="header4.xml"/><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header" Target="header5.xml"/><Relationship Id="rId35" Type="http://schemas.openxmlformats.org/officeDocument/2006/relationships/fontTable" Target="fontTable.xml"/><Relationship Id="rId8" Type="http://schemas.openxmlformats.org/officeDocument/2006/relationships/image" Target="media/image1.jpe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6E022C42DF2B2F42B01720971598790C" ma:contentTypeVersion="10" ma:contentTypeDescription="Create a new document." ma:contentTypeScope="" ma:versionID="db4df3b3515dbe228a0a96b64ec526a2">
  <xsd:schema xmlns:xsd="http://www.w3.org/2001/XMLSchema" xmlns:xs="http://www.w3.org/2001/XMLSchema" xmlns:p="http://schemas.microsoft.com/office/2006/metadata/properties" xmlns:ns2="cda97204-12a4-4db8-9438-c29916e3b7f9" xmlns:ns3="850be1ec-5fef-4875-bb69-1b2609bd8d8f" targetNamespace="http://schemas.microsoft.com/office/2006/metadata/properties" ma:root="true" ma:fieldsID="0f3d6ed7b833ab7ccd8a2bf1f89a6926" ns2:_="" ns3:_="">
    <xsd:import namespace="cda97204-12a4-4db8-9438-c29916e3b7f9"/>
    <xsd:import namespace="850be1ec-5fef-4875-bb69-1b2609bd8d8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MediaServiceDateTaken"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a97204-12a4-4db8-9438-c29916e3b7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850be1ec-5fef-4875-bb69-1b2609bd8d8f"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850be1ec-5fef-4875-bb69-1b2609bd8d8f">
      <UserInfo>
        <DisplayName/>
        <AccountId xsi:nil="true"/>
        <AccountType/>
      </UserInfo>
    </SharedWithUsers>
  </documentManagement>
</p:properties>
</file>

<file path=customXml/itemProps1.xml><?xml version="1.0" encoding="utf-8"?>
<ds:datastoreItem xmlns:ds="http://schemas.openxmlformats.org/officeDocument/2006/customXml" ds:itemID="{0F2CE80B-825D-43DF-92F5-BCEBB25FEF50}">
  <ds:schemaRefs>
    <ds:schemaRef ds:uri="http://schemas.openxmlformats.org/officeDocument/2006/bibliography"/>
  </ds:schemaRefs>
</ds:datastoreItem>
</file>

<file path=customXml/itemProps2.xml><?xml version="1.0" encoding="utf-8"?>
<ds:datastoreItem xmlns:ds="http://schemas.openxmlformats.org/officeDocument/2006/customXml" ds:itemID="{9EFA04D6-D9C2-48B7-8D95-02B80BFE0FCC}"/>
</file>

<file path=customXml/itemProps3.xml><?xml version="1.0" encoding="utf-8"?>
<ds:datastoreItem xmlns:ds="http://schemas.openxmlformats.org/officeDocument/2006/customXml" ds:itemID="{2462B4D2-68CF-4E50-9FA6-AA4B636068EB}"/>
</file>

<file path=customXml/itemProps4.xml><?xml version="1.0" encoding="utf-8"?>
<ds:datastoreItem xmlns:ds="http://schemas.openxmlformats.org/officeDocument/2006/customXml" ds:itemID="{3FA6C84E-F969-4193-B90D-0BB88DD88AB3}"/>
</file>

<file path=docProps/app.xml><?xml version="1.0" encoding="utf-8"?>
<Properties xmlns="http://schemas.openxmlformats.org/officeDocument/2006/extended-properties" xmlns:vt="http://schemas.openxmlformats.org/officeDocument/2006/docPropsVTypes">
  <Template>Normal</Template>
  <TotalTime>0</TotalTime>
  <Pages>33</Pages>
  <Words>7530</Words>
  <Characters>42923</Characters>
  <Application>Microsoft Office Word</Application>
  <DocSecurity>0</DocSecurity>
  <Lines>357</Lines>
  <Paragraphs>100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50353</CharactersWithSpaces>
  <SharedDoc>false</SharedDoc>
  <HLinks>
    <vt:vector size="144" baseType="variant">
      <vt:variant>
        <vt:i4>5177429</vt:i4>
      </vt:variant>
      <vt:variant>
        <vt:i4>159</vt:i4>
      </vt:variant>
      <vt:variant>
        <vt:i4>0</vt:i4>
      </vt:variant>
      <vt:variant>
        <vt:i4>5</vt:i4>
      </vt:variant>
      <vt:variant>
        <vt:lpwstr>https://www.eia.gov/</vt:lpwstr>
      </vt:variant>
      <vt:variant>
        <vt:lpwstr/>
      </vt:variant>
      <vt:variant>
        <vt:i4>1900607</vt:i4>
      </vt:variant>
      <vt:variant>
        <vt:i4>134</vt:i4>
      </vt:variant>
      <vt:variant>
        <vt:i4>0</vt:i4>
      </vt:variant>
      <vt:variant>
        <vt:i4>5</vt:i4>
      </vt:variant>
      <vt:variant>
        <vt:lpwstr/>
      </vt:variant>
      <vt:variant>
        <vt:lpwstr>_Toc188405637</vt:lpwstr>
      </vt:variant>
      <vt:variant>
        <vt:i4>1900607</vt:i4>
      </vt:variant>
      <vt:variant>
        <vt:i4>128</vt:i4>
      </vt:variant>
      <vt:variant>
        <vt:i4>0</vt:i4>
      </vt:variant>
      <vt:variant>
        <vt:i4>5</vt:i4>
      </vt:variant>
      <vt:variant>
        <vt:lpwstr/>
      </vt:variant>
      <vt:variant>
        <vt:lpwstr>_Toc188405636</vt:lpwstr>
      </vt:variant>
      <vt:variant>
        <vt:i4>1900607</vt:i4>
      </vt:variant>
      <vt:variant>
        <vt:i4>122</vt:i4>
      </vt:variant>
      <vt:variant>
        <vt:i4>0</vt:i4>
      </vt:variant>
      <vt:variant>
        <vt:i4>5</vt:i4>
      </vt:variant>
      <vt:variant>
        <vt:lpwstr/>
      </vt:variant>
      <vt:variant>
        <vt:lpwstr>_Toc188405635</vt:lpwstr>
      </vt:variant>
      <vt:variant>
        <vt:i4>1900607</vt:i4>
      </vt:variant>
      <vt:variant>
        <vt:i4>116</vt:i4>
      </vt:variant>
      <vt:variant>
        <vt:i4>0</vt:i4>
      </vt:variant>
      <vt:variant>
        <vt:i4>5</vt:i4>
      </vt:variant>
      <vt:variant>
        <vt:lpwstr/>
      </vt:variant>
      <vt:variant>
        <vt:lpwstr>_Toc188405634</vt:lpwstr>
      </vt:variant>
      <vt:variant>
        <vt:i4>1900607</vt:i4>
      </vt:variant>
      <vt:variant>
        <vt:i4>110</vt:i4>
      </vt:variant>
      <vt:variant>
        <vt:i4>0</vt:i4>
      </vt:variant>
      <vt:variant>
        <vt:i4>5</vt:i4>
      </vt:variant>
      <vt:variant>
        <vt:lpwstr/>
      </vt:variant>
      <vt:variant>
        <vt:lpwstr>_Toc188405633</vt:lpwstr>
      </vt:variant>
      <vt:variant>
        <vt:i4>1900607</vt:i4>
      </vt:variant>
      <vt:variant>
        <vt:i4>104</vt:i4>
      </vt:variant>
      <vt:variant>
        <vt:i4>0</vt:i4>
      </vt:variant>
      <vt:variant>
        <vt:i4>5</vt:i4>
      </vt:variant>
      <vt:variant>
        <vt:lpwstr/>
      </vt:variant>
      <vt:variant>
        <vt:lpwstr>_Toc188405632</vt:lpwstr>
      </vt:variant>
      <vt:variant>
        <vt:i4>1900607</vt:i4>
      </vt:variant>
      <vt:variant>
        <vt:i4>98</vt:i4>
      </vt:variant>
      <vt:variant>
        <vt:i4>0</vt:i4>
      </vt:variant>
      <vt:variant>
        <vt:i4>5</vt:i4>
      </vt:variant>
      <vt:variant>
        <vt:lpwstr/>
      </vt:variant>
      <vt:variant>
        <vt:lpwstr>_Toc188405631</vt:lpwstr>
      </vt:variant>
      <vt:variant>
        <vt:i4>1900607</vt:i4>
      </vt:variant>
      <vt:variant>
        <vt:i4>92</vt:i4>
      </vt:variant>
      <vt:variant>
        <vt:i4>0</vt:i4>
      </vt:variant>
      <vt:variant>
        <vt:i4>5</vt:i4>
      </vt:variant>
      <vt:variant>
        <vt:lpwstr/>
      </vt:variant>
      <vt:variant>
        <vt:lpwstr>_Toc188405630</vt:lpwstr>
      </vt:variant>
      <vt:variant>
        <vt:i4>1835071</vt:i4>
      </vt:variant>
      <vt:variant>
        <vt:i4>86</vt:i4>
      </vt:variant>
      <vt:variant>
        <vt:i4>0</vt:i4>
      </vt:variant>
      <vt:variant>
        <vt:i4>5</vt:i4>
      </vt:variant>
      <vt:variant>
        <vt:lpwstr/>
      </vt:variant>
      <vt:variant>
        <vt:lpwstr>_Toc188405629</vt:lpwstr>
      </vt:variant>
      <vt:variant>
        <vt:i4>1835071</vt:i4>
      </vt:variant>
      <vt:variant>
        <vt:i4>80</vt:i4>
      </vt:variant>
      <vt:variant>
        <vt:i4>0</vt:i4>
      </vt:variant>
      <vt:variant>
        <vt:i4>5</vt:i4>
      </vt:variant>
      <vt:variant>
        <vt:lpwstr/>
      </vt:variant>
      <vt:variant>
        <vt:lpwstr>_Toc188405628</vt:lpwstr>
      </vt:variant>
      <vt:variant>
        <vt:i4>1835071</vt:i4>
      </vt:variant>
      <vt:variant>
        <vt:i4>74</vt:i4>
      </vt:variant>
      <vt:variant>
        <vt:i4>0</vt:i4>
      </vt:variant>
      <vt:variant>
        <vt:i4>5</vt:i4>
      </vt:variant>
      <vt:variant>
        <vt:lpwstr/>
      </vt:variant>
      <vt:variant>
        <vt:lpwstr>_Toc188405627</vt:lpwstr>
      </vt:variant>
      <vt:variant>
        <vt:i4>1835071</vt:i4>
      </vt:variant>
      <vt:variant>
        <vt:i4>68</vt:i4>
      </vt:variant>
      <vt:variant>
        <vt:i4>0</vt:i4>
      </vt:variant>
      <vt:variant>
        <vt:i4>5</vt:i4>
      </vt:variant>
      <vt:variant>
        <vt:lpwstr/>
      </vt:variant>
      <vt:variant>
        <vt:lpwstr>_Toc188405626</vt:lpwstr>
      </vt:variant>
      <vt:variant>
        <vt:i4>1835071</vt:i4>
      </vt:variant>
      <vt:variant>
        <vt:i4>62</vt:i4>
      </vt:variant>
      <vt:variant>
        <vt:i4>0</vt:i4>
      </vt:variant>
      <vt:variant>
        <vt:i4>5</vt:i4>
      </vt:variant>
      <vt:variant>
        <vt:lpwstr/>
      </vt:variant>
      <vt:variant>
        <vt:lpwstr>_Toc188405625</vt:lpwstr>
      </vt:variant>
      <vt:variant>
        <vt:i4>1835071</vt:i4>
      </vt:variant>
      <vt:variant>
        <vt:i4>56</vt:i4>
      </vt:variant>
      <vt:variant>
        <vt:i4>0</vt:i4>
      </vt:variant>
      <vt:variant>
        <vt:i4>5</vt:i4>
      </vt:variant>
      <vt:variant>
        <vt:lpwstr/>
      </vt:variant>
      <vt:variant>
        <vt:lpwstr>_Toc188405624</vt:lpwstr>
      </vt:variant>
      <vt:variant>
        <vt:i4>1835071</vt:i4>
      </vt:variant>
      <vt:variant>
        <vt:i4>50</vt:i4>
      </vt:variant>
      <vt:variant>
        <vt:i4>0</vt:i4>
      </vt:variant>
      <vt:variant>
        <vt:i4>5</vt:i4>
      </vt:variant>
      <vt:variant>
        <vt:lpwstr/>
      </vt:variant>
      <vt:variant>
        <vt:lpwstr>_Toc188405623</vt:lpwstr>
      </vt:variant>
      <vt:variant>
        <vt:i4>1835071</vt:i4>
      </vt:variant>
      <vt:variant>
        <vt:i4>44</vt:i4>
      </vt:variant>
      <vt:variant>
        <vt:i4>0</vt:i4>
      </vt:variant>
      <vt:variant>
        <vt:i4>5</vt:i4>
      </vt:variant>
      <vt:variant>
        <vt:lpwstr/>
      </vt:variant>
      <vt:variant>
        <vt:lpwstr>_Toc188405622</vt:lpwstr>
      </vt:variant>
      <vt:variant>
        <vt:i4>1835071</vt:i4>
      </vt:variant>
      <vt:variant>
        <vt:i4>38</vt:i4>
      </vt:variant>
      <vt:variant>
        <vt:i4>0</vt:i4>
      </vt:variant>
      <vt:variant>
        <vt:i4>5</vt:i4>
      </vt:variant>
      <vt:variant>
        <vt:lpwstr/>
      </vt:variant>
      <vt:variant>
        <vt:lpwstr>_Toc188405621</vt:lpwstr>
      </vt:variant>
      <vt:variant>
        <vt:i4>1835071</vt:i4>
      </vt:variant>
      <vt:variant>
        <vt:i4>32</vt:i4>
      </vt:variant>
      <vt:variant>
        <vt:i4>0</vt:i4>
      </vt:variant>
      <vt:variant>
        <vt:i4>5</vt:i4>
      </vt:variant>
      <vt:variant>
        <vt:lpwstr/>
      </vt:variant>
      <vt:variant>
        <vt:lpwstr>_Toc188405620</vt:lpwstr>
      </vt:variant>
      <vt:variant>
        <vt:i4>2031679</vt:i4>
      </vt:variant>
      <vt:variant>
        <vt:i4>26</vt:i4>
      </vt:variant>
      <vt:variant>
        <vt:i4>0</vt:i4>
      </vt:variant>
      <vt:variant>
        <vt:i4>5</vt:i4>
      </vt:variant>
      <vt:variant>
        <vt:lpwstr/>
      </vt:variant>
      <vt:variant>
        <vt:lpwstr>_Toc188405619</vt:lpwstr>
      </vt:variant>
      <vt:variant>
        <vt:i4>2031679</vt:i4>
      </vt:variant>
      <vt:variant>
        <vt:i4>20</vt:i4>
      </vt:variant>
      <vt:variant>
        <vt:i4>0</vt:i4>
      </vt:variant>
      <vt:variant>
        <vt:i4>5</vt:i4>
      </vt:variant>
      <vt:variant>
        <vt:lpwstr/>
      </vt:variant>
      <vt:variant>
        <vt:lpwstr>_Toc188405618</vt:lpwstr>
      </vt:variant>
      <vt:variant>
        <vt:i4>2031679</vt:i4>
      </vt:variant>
      <vt:variant>
        <vt:i4>14</vt:i4>
      </vt:variant>
      <vt:variant>
        <vt:i4>0</vt:i4>
      </vt:variant>
      <vt:variant>
        <vt:i4>5</vt:i4>
      </vt:variant>
      <vt:variant>
        <vt:lpwstr/>
      </vt:variant>
      <vt:variant>
        <vt:lpwstr>_Toc188405617</vt:lpwstr>
      </vt:variant>
      <vt:variant>
        <vt:i4>2031679</vt:i4>
      </vt:variant>
      <vt:variant>
        <vt:i4>8</vt:i4>
      </vt:variant>
      <vt:variant>
        <vt:i4>0</vt:i4>
      </vt:variant>
      <vt:variant>
        <vt:i4>5</vt:i4>
      </vt:variant>
      <vt:variant>
        <vt:lpwstr/>
      </vt:variant>
      <vt:variant>
        <vt:lpwstr>_Toc188405616</vt:lpwstr>
      </vt:variant>
      <vt:variant>
        <vt:i4>2031679</vt:i4>
      </vt:variant>
      <vt:variant>
        <vt:i4>2</vt:i4>
      </vt:variant>
      <vt:variant>
        <vt:i4>0</vt:i4>
      </vt:variant>
      <vt:variant>
        <vt:i4>5</vt:i4>
      </vt:variant>
      <vt:variant>
        <vt:lpwstr/>
      </vt:variant>
      <vt:variant>
        <vt:lpwstr>_Toc188405615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2025-01-22T21:11:00Z</dcterms:created>
  <dcterms:modified xsi:type="dcterms:W3CDTF">2025-01-22T21:11:00Z</dcterms:modified>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arkAsFinal">
    <vt:bool>true</vt:bool>
  </property>
  <property fmtid="{D5CDD505-2E9C-101B-9397-08002B2CF9AE}" pid="3" name="MSIP_Label_ed3826ce-7c18-471d-9596-93de5bae332e_Enabled">
    <vt:lpwstr>true</vt:lpwstr>
  </property>
  <property fmtid="{D5CDD505-2E9C-101B-9397-08002B2CF9AE}" pid="4" name="MSIP_Label_ed3826ce-7c18-471d-9596-93de5bae332e_SetDate">
    <vt:lpwstr>2025-01-22T21:11:19Z</vt:lpwstr>
  </property>
  <property fmtid="{D5CDD505-2E9C-101B-9397-08002B2CF9AE}" pid="5" name="MSIP_Label_ed3826ce-7c18-471d-9596-93de5bae332e_Method">
    <vt:lpwstr>Standard</vt:lpwstr>
  </property>
  <property fmtid="{D5CDD505-2E9C-101B-9397-08002B2CF9AE}" pid="6" name="MSIP_Label_ed3826ce-7c18-471d-9596-93de5bae332e_Name">
    <vt:lpwstr>Internal</vt:lpwstr>
  </property>
  <property fmtid="{D5CDD505-2E9C-101B-9397-08002B2CF9AE}" pid="7" name="MSIP_Label_ed3826ce-7c18-471d-9596-93de5bae332e_SiteId">
    <vt:lpwstr>c0a02e2d-1186-410a-8895-0a4a252ebf17</vt:lpwstr>
  </property>
  <property fmtid="{D5CDD505-2E9C-101B-9397-08002B2CF9AE}" pid="8" name="MSIP_Label_ed3826ce-7c18-471d-9596-93de5bae332e_ActionId">
    <vt:lpwstr>59e30806-c53b-4ef9-bc55-f83de2980706</vt:lpwstr>
  </property>
  <property fmtid="{D5CDD505-2E9C-101B-9397-08002B2CF9AE}" pid="9" name="MSIP_Label_ed3826ce-7c18-471d-9596-93de5bae332e_ContentBits">
    <vt:lpwstr>0</vt:lpwstr>
  </property>
  <property fmtid="{D5CDD505-2E9C-101B-9397-08002B2CF9AE}" pid="10" name="Order">
    <vt:r8>18200</vt:r8>
  </property>
  <property fmtid="{D5CDD505-2E9C-101B-9397-08002B2CF9AE}" pid="11" name="xd_ProgID">
    <vt:lpwstr/>
  </property>
  <property fmtid="{D5CDD505-2E9C-101B-9397-08002B2CF9AE}" pid="12" name="ContentTypeId">
    <vt:lpwstr>0x0101006E022C42DF2B2F42B01720971598790C</vt:lpwstr>
  </property>
  <property fmtid="{D5CDD505-2E9C-101B-9397-08002B2CF9AE}" pid="13" name="ComplianceAssetId">
    <vt:lpwstr/>
  </property>
  <property fmtid="{D5CDD505-2E9C-101B-9397-08002B2CF9AE}" pid="14" name="TemplateUrl">
    <vt:lpwstr/>
  </property>
  <property fmtid="{D5CDD505-2E9C-101B-9397-08002B2CF9AE}" pid="15" name="_ExtendedDescription">
    <vt:lpwstr/>
  </property>
  <property fmtid="{D5CDD505-2E9C-101B-9397-08002B2CF9AE}" pid="16" name="xd_Signature">
    <vt:bool>false</vt:bool>
  </property>
  <property fmtid="{D5CDD505-2E9C-101B-9397-08002B2CF9AE}" pid="17" name="TriggerFlowInfo">
    <vt:lpwstr/>
  </property>
</Properties>
</file>